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EF2F0">
      <w:pPr>
        <w:keepNext w:val="0"/>
        <w:keepLines w:val="0"/>
        <w:widowControl/>
        <w:suppressLineNumbers w:val="0"/>
        <w:jc w:val="center"/>
        <w:rPr>
          <w:rFonts w:hint="eastAsia" w:ascii="方正小标宋简体" w:hAnsi="方正小标宋简体" w:eastAsia="方正小标宋简体" w:cs="方正小标宋简体"/>
          <w:color w:val="000000"/>
          <w:kern w:val="0"/>
          <w:sz w:val="18"/>
          <w:szCs w:val="18"/>
          <w:lang w:val="en-US" w:eastAsia="zh-CN" w:bidi="ar"/>
        </w:rPr>
      </w:pPr>
    </w:p>
    <w:p w14:paraId="2B80D9A9">
      <w:pPr>
        <w:keepNext w:val="0"/>
        <w:keepLines w:val="0"/>
        <w:widowControl/>
        <w:suppressLineNumbers w:val="0"/>
        <w:jc w:val="center"/>
        <w:rPr>
          <w:rFonts w:hint="eastAsia" w:ascii="方正小标宋简体" w:hAnsi="方正小标宋简体" w:eastAsia="方正小标宋简体" w:cs="方正小标宋简体"/>
          <w:color w:val="000000"/>
          <w:kern w:val="0"/>
          <w:sz w:val="36"/>
          <w:szCs w:val="36"/>
          <w:lang w:val="en-US" w:eastAsia="zh-CN" w:bidi="ar"/>
        </w:rPr>
      </w:pPr>
      <w:r>
        <w:rPr>
          <w:rFonts w:hint="default" w:ascii="方正小标宋简体" w:hAnsi="方正小标宋简体" w:eastAsia="方正小标宋简体" w:cs="方正小标宋简体"/>
          <w:color w:val="000000"/>
          <w:kern w:val="0"/>
          <w:sz w:val="36"/>
          <w:szCs w:val="36"/>
          <w:lang w:val="en-US" w:eastAsia="zh-CN" w:bidi="ar"/>
        </w:rPr>
        <w:t>2025</w:t>
      </w:r>
      <w:r>
        <w:rPr>
          <w:rFonts w:hint="eastAsia" w:ascii="方正小标宋简体" w:hAnsi="方正小标宋简体" w:eastAsia="方正小标宋简体" w:cs="方正小标宋简体"/>
          <w:color w:val="000000"/>
          <w:kern w:val="0"/>
          <w:sz w:val="36"/>
          <w:szCs w:val="36"/>
          <w:lang w:val="en-US" w:eastAsia="zh-CN" w:bidi="ar"/>
        </w:rPr>
        <w:t>年度一般公共预算财政拨款“三公”经费</w:t>
      </w:r>
    </w:p>
    <w:p w14:paraId="79A07C3C">
      <w:pPr>
        <w:keepNext w:val="0"/>
        <w:keepLines w:val="0"/>
        <w:widowControl/>
        <w:suppressLineNumbers w:val="0"/>
        <w:jc w:val="center"/>
        <w:rPr>
          <w:rFonts w:hint="eastAsia" w:ascii="方正小标宋简体" w:hAnsi="方正小标宋简体" w:eastAsia="方正小标宋简体" w:cs="方正小标宋简体"/>
          <w:color w:val="000000"/>
          <w:kern w:val="0"/>
          <w:sz w:val="36"/>
          <w:szCs w:val="36"/>
          <w:lang w:val="en-US" w:eastAsia="zh-CN" w:bidi="ar"/>
        </w:rPr>
      </w:pPr>
      <w:r>
        <w:rPr>
          <w:rFonts w:hint="eastAsia" w:ascii="方正小标宋简体" w:hAnsi="方正小标宋简体" w:eastAsia="方正小标宋简体" w:cs="方正小标宋简体"/>
          <w:color w:val="000000"/>
          <w:kern w:val="0"/>
          <w:sz w:val="36"/>
          <w:szCs w:val="36"/>
          <w:lang w:val="en-US" w:eastAsia="zh-CN" w:bidi="ar"/>
        </w:rPr>
        <w:t>支出决算情况说明</w:t>
      </w:r>
    </w:p>
    <w:p w14:paraId="470730C8">
      <w:pPr>
        <w:keepNext w:val="0"/>
        <w:keepLines w:val="0"/>
        <w:widowControl/>
        <w:suppressLineNumbers w:val="0"/>
        <w:jc w:val="center"/>
        <w:rPr>
          <w:rFonts w:hint="eastAsia" w:ascii="方正小标宋简体" w:hAnsi="方正小标宋简体" w:eastAsia="方正小标宋简体" w:cs="方正小标宋简体"/>
          <w:color w:val="000000"/>
          <w:kern w:val="0"/>
          <w:sz w:val="36"/>
          <w:szCs w:val="36"/>
          <w:lang w:val="en-US" w:eastAsia="zh-CN" w:bidi="ar"/>
        </w:rPr>
      </w:pPr>
    </w:p>
    <w:p w14:paraId="68918444">
      <w:pPr>
        <w:pStyle w:val="2"/>
        <w:rPr>
          <w:rFonts w:hint="eastAsia"/>
          <w:lang w:val="en-US" w:eastAsia="zh-CN"/>
        </w:rPr>
      </w:pPr>
      <w:bookmarkStart w:id="0" w:name="_GoBack"/>
      <w:bookmarkEnd w:id="0"/>
    </w:p>
    <w:p w14:paraId="2938192D">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left"/>
        <w:textAlignment w:val="auto"/>
        <w:rPr>
          <w:rFonts w:hint="eastAsia"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一、“三公”经费财政拨款支出决算总体情况说明</w:t>
      </w:r>
    </w:p>
    <w:p w14:paraId="01F1DD75">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eastAsia" w:ascii="仿宋_GB2312" w:hAnsi="仿宋_GB2312" w:eastAsia="仿宋_GB2312" w:cs="仿宋_GB2312"/>
          <w:bCs/>
          <w:color w:val="auto"/>
          <w:sz w:val="32"/>
          <w:szCs w:val="32"/>
          <w:highlight w:val="none"/>
          <w:lang w:val="en-US" w:eastAsia="zh-CN" w:bidi="ar"/>
        </w:rPr>
        <w:t>阳西县审计局</w:t>
      </w:r>
      <w:r>
        <w:rPr>
          <w:rFonts w:hint="default" w:ascii="Times New Roman" w:hAnsi="Times New Roman" w:eastAsia="仿宋_GB2312" w:cs="Times New Roman"/>
          <w:bCs/>
          <w:color w:val="auto"/>
          <w:sz w:val="32"/>
          <w:szCs w:val="32"/>
          <w:highlight w:val="none"/>
          <w:lang w:val="en-US" w:eastAsia="zh-CN" w:bidi="ar"/>
        </w:rPr>
        <w:t>2025</w:t>
      </w:r>
      <w:r>
        <w:rPr>
          <w:rFonts w:hint="eastAsia" w:ascii="仿宋_GB2312" w:hAnsi="仿宋_GB2312" w:eastAsia="仿宋_GB2312" w:cs="仿宋_GB2312"/>
          <w:bCs/>
          <w:color w:val="auto"/>
          <w:sz w:val="32"/>
          <w:szCs w:val="32"/>
          <w:highlight w:val="none"/>
          <w:lang w:val="en-US" w:eastAsia="zh-CN" w:bidi="ar"/>
        </w:rPr>
        <w:t>年度“三公”经费财政拨款支出决算为</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69</w:t>
      </w:r>
      <w:r>
        <w:rPr>
          <w:rFonts w:hint="eastAsia" w:ascii="仿宋_GB2312" w:hAnsi="仿宋_GB2312" w:eastAsia="仿宋_GB2312" w:cs="仿宋_GB2312"/>
          <w:bCs/>
          <w:color w:val="auto"/>
          <w:sz w:val="32"/>
          <w:szCs w:val="32"/>
          <w:highlight w:val="none"/>
          <w:lang w:val="en-US" w:eastAsia="zh-CN" w:bidi="ar"/>
        </w:rPr>
        <w:t>万元，完成全年预算</w:t>
      </w:r>
      <w:r>
        <w:rPr>
          <w:rFonts w:hint="default" w:ascii="Times New Roman" w:hAnsi="Times New Roman" w:eastAsia="仿宋_GB2312" w:cs="Times New Roman"/>
          <w:bCs/>
          <w:color w:val="auto"/>
          <w:sz w:val="32"/>
          <w:szCs w:val="32"/>
          <w:highlight w:val="none"/>
          <w:lang w:val="en-US" w:eastAsia="zh-CN" w:bidi="ar"/>
        </w:rPr>
        <w:t>12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万元的</w:t>
      </w:r>
      <w:r>
        <w:rPr>
          <w:rFonts w:hint="default" w:ascii="Times New Roman" w:hAnsi="Times New Roman" w:eastAsia="仿宋_GB2312" w:cs="Times New Roman"/>
          <w:bCs/>
          <w:color w:val="auto"/>
          <w:sz w:val="32"/>
          <w:szCs w:val="32"/>
          <w:highlight w:val="none"/>
          <w:lang w:val="en-US" w:eastAsia="zh-CN" w:bidi="ar"/>
        </w:rPr>
        <w:t>13</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9</w:t>
      </w:r>
      <w:r>
        <w:rPr>
          <w:rFonts w:hint="eastAsia" w:ascii="仿宋_GB2312" w:hAnsi="仿宋_GB2312" w:eastAsia="仿宋_GB2312" w:cs="仿宋_GB2312"/>
          <w:bCs/>
          <w:color w:val="auto"/>
          <w:sz w:val="32"/>
          <w:szCs w:val="32"/>
          <w:highlight w:val="none"/>
          <w:lang w:val="en-US" w:eastAsia="zh-CN" w:bidi="ar"/>
        </w:rPr>
        <w:t>%，比上年决算数减少</w:t>
      </w:r>
      <w:r>
        <w:rPr>
          <w:rFonts w:hint="default" w:ascii="Times New Roman" w:hAnsi="Times New Roman" w:eastAsia="仿宋_GB2312" w:cs="Times New Roman"/>
          <w:bCs/>
          <w:color w:val="auto"/>
          <w:sz w:val="32"/>
          <w:szCs w:val="32"/>
          <w:highlight w:val="none"/>
          <w:lang w:val="en-US" w:eastAsia="zh-CN" w:bidi="ar"/>
        </w:rPr>
        <w:t>3</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36</w:t>
      </w:r>
      <w:r>
        <w:rPr>
          <w:rFonts w:hint="eastAsia" w:ascii="仿宋_GB2312" w:hAnsi="仿宋_GB2312" w:eastAsia="仿宋_GB2312" w:cs="仿宋_GB2312"/>
          <w:bCs/>
          <w:color w:val="auto"/>
          <w:sz w:val="32"/>
          <w:szCs w:val="32"/>
          <w:highlight w:val="none"/>
          <w:lang w:val="en-US" w:eastAsia="zh-CN" w:bidi="ar"/>
        </w:rPr>
        <w:t>万元，下降</w:t>
      </w:r>
      <w:r>
        <w:rPr>
          <w:rFonts w:hint="default" w:ascii="Times New Roman" w:hAnsi="Times New Roman" w:eastAsia="仿宋_GB2312" w:cs="Times New Roman"/>
          <w:bCs/>
          <w:color w:val="auto"/>
          <w:sz w:val="32"/>
          <w:szCs w:val="32"/>
          <w:highlight w:val="none"/>
          <w:lang w:val="en-US" w:eastAsia="zh-CN" w:bidi="ar"/>
        </w:rPr>
        <w:t>66</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5</w:t>
      </w:r>
      <w:r>
        <w:rPr>
          <w:rFonts w:hint="eastAsia" w:ascii="仿宋_GB2312" w:hAnsi="仿宋_GB2312" w:eastAsia="仿宋_GB2312" w:cs="仿宋_GB2312"/>
          <w:bCs/>
          <w:color w:val="auto"/>
          <w:sz w:val="32"/>
          <w:szCs w:val="32"/>
          <w:highlight w:val="none"/>
          <w:lang w:val="en-US" w:eastAsia="zh-CN" w:bidi="ar"/>
        </w:rPr>
        <w:t>%。其中：因公出国（境）费支出决算为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万元，完成预算</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万元的--%（基数为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，不可比），比上年决算数增加</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万元，增长--（基数为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，不可比）；公务用车购置及运行维护费支出决算为</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48</w:t>
      </w:r>
      <w:r>
        <w:rPr>
          <w:rFonts w:hint="eastAsia" w:ascii="仿宋_GB2312" w:hAnsi="仿宋_GB2312" w:eastAsia="仿宋_GB2312" w:cs="仿宋_GB2312"/>
          <w:bCs/>
          <w:color w:val="auto"/>
          <w:sz w:val="32"/>
          <w:szCs w:val="32"/>
          <w:highlight w:val="none"/>
          <w:lang w:val="en-US" w:eastAsia="zh-CN" w:bidi="ar"/>
        </w:rPr>
        <w:t>万元，完成预算</w:t>
      </w:r>
      <w:r>
        <w:rPr>
          <w:rFonts w:hint="default" w:ascii="Times New Roman" w:hAnsi="Times New Roman" w:eastAsia="仿宋_GB2312" w:cs="Times New Roman"/>
          <w:bCs/>
          <w:color w:val="auto"/>
          <w:sz w:val="32"/>
          <w:szCs w:val="32"/>
          <w:highlight w:val="none"/>
          <w:lang w:val="en-US" w:eastAsia="zh-CN" w:bidi="ar"/>
        </w:rPr>
        <w:t>4</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万元的</w:t>
      </w:r>
      <w:r>
        <w:rPr>
          <w:rFonts w:hint="default" w:ascii="Times New Roman" w:hAnsi="Times New Roman" w:eastAsia="仿宋_GB2312" w:cs="Times New Roman"/>
          <w:bCs/>
          <w:color w:val="auto"/>
          <w:sz w:val="32"/>
          <w:szCs w:val="32"/>
          <w:highlight w:val="none"/>
          <w:lang w:val="en-US" w:eastAsia="zh-CN" w:bidi="ar"/>
        </w:rPr>
        <w:t>35</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%，比上年决算数减少</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72</w:t>
      </w:r>
      <w:r>
        <w:rPr>
          <w:rFonts w:hint="eastAsia" w:ascii="仿宋_GB2312" w:hAnsi="仿宋_GB2312" w:eastAsia="仿宋_GB2312" w:cs="仿宋_GB2312"/>
          <w:bCs/>
          <w:color w:val="auto"/>
          <w:sz w:val="32"/>
          <w:szCs w:val="32"/>
          <w:highlight w:val="none"/>
          <w:lang w:val="en-US" w:eastAsia="zh-CN" w:bidi="ar"/>
        </w:rPr>
        <w:t>万元，下降</w:t>
      </w:r>
      <w:r>
        <w:rPr>
          <w:rFonts w:hint="default" w:ascii="Times New Roman" w:hAnsi="Times New Roman" w:eastAsia="仿宋_GB2312" w:cs="Times New Roman"/>
          <w:bCs/>
          <w:color w:val="auto"/>
          <w:sz w:val="32"/>
          <w:szCs w:val="32"/>
          <w:highlight w:val="none"/>
          <w:lang w:val="en-US" w:eastAsia="zh-CN" w:bidi="ar"/>
        </w:rPr>
        <w:t>32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7</w:t>
      </w:r>
      <w:r>
        <w:rPr>
          <w:rFonts w:hint="eastAsia" w:ascii="仿宋_GB2312" w:hAnsi="仿宋_GB2312" w:eastAsia="仿宋_GB2312" w:cs="仿宋_GB2312"/>
          <w:bCs/>
          <w:color w:val="auto"/>
          <w:sz w:val="32"/>
          <w:szCs w:val="32"/>
          <w:highlight w:val="none"/>
          <w:lang w:val="en-US" w:eastAsia="zh-CN" w:bidi="ar"/>
        </w:rPr>
        <w:t>%；其中：公务用车购置支出决算为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万元，完成预算</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万元的--%（基数为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，不可比），比上年决算数增加</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万元，增长--（基数为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，不可比）；公务用车运行维护费支出决算为</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48</w:t>
      </w:r>
      <w:r>
        <w:rPr>
          <w:rFonts w:hint="eastAsia" w:ascii="仿宋_GB2312" w:hAnsi="仿宋_GB2312" w:eastAsia="仿宋_GB2312" w:cs="仿宋_GB2312"/>
          <w:bCs/>
          <w:color w:val="auto"/>
          <w:sz w:val="32"/>
          <w:szCs w:val="32"/>
          <w:highlight w:val="none"/>
          <w:lang w:val="en-US" w:eastAsia="zh-CN" w:bidi="ar"/>
        </w:rPr>
        <w:t>万元，完成预算</w:t>
      </w:r>
      <w:r>
        <w:rPr>
          <w:rFonts w:hint="default" w:ascii="Times New Roman" w:hAnsi="Times New Roman" w:eastAsia="仿宋_GB2312" w:cs="Times New Roman"/>
          <w:bCs/>
          <w:color w:val="auto"/>
          <w:sz w:val="32"/>
          <w:szCs w:val="32"/>
          <w:highlight w:val="none"/>
          <w:lang w:val="en-US" w:eastAsia="zh-CN" w:bidi="ar"/>
        </w:rPr>
        <w:t>4</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万元的</w:t>
      </w:r>
      <w:r>
        <w:rPr>
          <w:rFonts w:hint="default" w:ascii="Times New Roman" w:hAnsi="Times New Roman" w:eastAsia="仿宋_GB2312" w:cs="Times New Roman"/>
          <w:bCs/>
          <w:color w:val="auto"/>
          <w:sz w:val="32"/>
          <w:szCs w:val="32"/>
          <w:highlight w:val="none"/>
          <w:lang w:val="en-US" w:eastAsia="zh-CN" w:bidi="ar"/>
        </w:rPr>
        <w:t>35</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%，比上年决算数减少</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72</w:t>
      </w:r>
      <w:r>
        <w:rPr>
          <w:rFonts w:hint="eastAsia" w:ascii="仿宋_GB2312" w:hAnsi="仿宋_GB2312" w:eastAsia="仿宋_GB2312" w:cs="仿宋_GB2312"/>
          <w:bCs/>
          <w:color w:val="auto"/>
          <w:sz w:val="32"/>
          <w:szCs w:val="32"/>
          <w:highlight w:val="none"/>
          <w:lang w:val="en-US" w:eastAsia="zh-CN" w:bidi="ar"/>
        </w:rPr>
        <w:t>万元，下降</w:t>
      </w:r>
      <w:r>
        <w:rPr>
          <w:rFonts w:hint="default" w:ascii="Times New Roman" w:hAnsi="Times New Roman" w:eastAsia="仿宋_GB2312" w:cs="Times New Roman"/>
          <w:bCs/>
          <w:color w:val="auto"/>
          <w:sz w:val="32"/>
          <w:szCs w:val="32"/>
          <w:highlight w:val="none"/>
          <w:lang w:val="en-US" w:eastAsia="zh-CN" w:bidi="ar"/>
        </w:rPr>
        <w:t>32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7</w:t>
      </w:r>
      <w:r>
        <w:rPr>
          <w:rFonts w:hint="eastAsia" w:ascii="仿宋_GB2312" w:hAnsi="仿宋_GB2312" w:eastAsia="仿宋_GB2312" w:cs="仿宋_GB2312"/>
          <w:bCs/>
          <w:color w:val="auto"/>
          <w:sz w:val="32"/>
          <w:szCs w:val="32"/>
          <w:highlight w:val="none"/>
          <w:lang w:val="en-US" w:eastAsia="zh-CN" w:bidi="ar"/>
        </w:rPr>
        <w:t>%；公务接待费支出决算为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22</w:t>
      </w:r>
      <w:r>
        <w:rPr>
          <w:rFonts w:hint="eastAsia" w:ascii="仿宋_GB2312" w:hAnsi="仿宋_GB2312" w:eastAsia="仿宋_GB2312" w:cs="仿宋_GB2312"/>
          <w:bCs/>
          <w:color w:val="auto"/>
          <w:sz w:val="32"/>
          <w:szCs w:val="32"/>
          <w:highlight w:val="none"/>
          <w:lang w:val="en-US" w:eastAsia="zh-CN" w:bidi="ar"/>
        </w:rPr>
        <w:t>万元，完成预算</w:t>
      </w:r>
      <w:r>
        <w:rPr>
          <w:rFonts w:hint="default" w:ascii="Times New Roman" w:hAnsi="Times New Roman" w:eastAsia="仿宋_GB2312" w:cs="Times New Roman"/>
          <w:bCs/>
          <w:color w:val="auto"/>
          <w:sz w:val="32"/>
          <w:szCs w:val="32"/>
          <w:highlight w:val="none"/>
          <w:lang w:val="en-US" w:eastAsia="zh-CN" w:bidi="ar"/>
        </w:rPr>
        <w:t>8</w:t>
      </w:r>
      <w:r>
        <w:rPr>
          <w:rFonts w:hint="eastAsia" w:ascii="仿宋_GB2312" w:hAnsi="仿宋_GB2312" w:eastAsia="仿宋_GB2312" w:cs="仿宋_GB2312"/>
          <w:bCs/>
          <w:color w:val="auto"/>
          <w:sz w:val="32"/>
          <w:szCs w:val="32"/>
          <w:highlight w:val="none"/>
          <w:lang w:val="en-US" w:eastAsia="zh-CN" w:bidi="ar"/>
        </w:rPr>
        <w:t>万元的</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7</w:t>
      </w:r>
      <w:r>
        <w:rPr>
          <w:rFonts w:hint="eastAsia" w:ascii="仿宋_GB2312" w:hAnsi="仿宋_GB2312" w:eastAsia="仿宋_GB2312" w:cs="仿宋_GB2312"/>
          <w:bCs/>
          <w:color w:val="auto"/>
          <w:sz w:val="32"/>
          <w:szCs w:val="32"/>
          <w:highlight w:val="none"/>
          <w:lang w:val="en-US" w:eastAsia="zh-CN" w:bidi="ar"/>
        </w:rPr>
        <w:t>%，比上年决算数减少</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64</w:t>
      </w:r>
      <w:r>
        <w:rPr>
          <w:rFonts w:hint="eastAsia" w:ascii="仿宋_GB2312" w:hAnsi="仿宋_GB2312" w:eastAsia="仿宋_GB2312" w:cs="仿宋_GB2312"/>
          <w:bCs/>
          <w:color w:val="auto"/>
          <w:sz w:val="32"/>
          <w:szCs w:val="32"/>
          <w:highlight w:val="none"/>
          <w:lang w:val="en-US" w:eastAsia="zh-CN" w:bidi="ar"/>
        </w:rPr>
        <w:t>万元，下降</w:t>
      </w:r>
      <w:r>
        <w:rPr>
          <w:rFonts w:hint="default" w:ascii="Times New Roman" w:hAnsi="Times New Roman" w:eastAsia="仿宋_GB2312" w:cs="Times New Roman"/>
          <w:bCs/>
          <w:color w:val="auto"/>
          <w:sz w:val="32"/>
          <w:szCs w:val="32"/>
          <w:highlight w:val="none"/>
          <w:lang w:val="en-US" w:eastAsia="zh-CN" w:bidi="ar"/>
        </w:rPr>
        <w:t>92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4</w:t>
      </w:r>
      <w:r>
        <w:rPr>
          <w:rFonts w:hint="eastAsia" w:ascii="仿宋_GB2312" w:hAnsi="仿宋_GB2312" w:eastAsia="仿宋_GB2312" w:cs="仿宋_GB2312"/>
          <w:bCs/>
          <w:color w:val="auto"/>
          <w:sz w:val="32"/>
          <w:szCs w:val="32"/>
          <w:highlight w:val="none"/>
          <w:lang w:val="en-US" w:eastAsia="zh-CN" w:bidi="ar"/>
        </w:rPr>
        <w:t>%。</w:t>
      </w:r>
    </w:p>
    <w:p w14:paraId="28F2FE2F">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2025</w:t>
      </w:r>
      <w:r>
        <w:rPr>
          <w:rFonts w:hint="eastAsia" w:ascii="仿宋_GB2312" w:hAnsi="仿宋_GB2312" w:eastAsia="仿宋_GB2312" w:cs="仿宋_GB2312"/>
          <w:bCs/>
          <w:color w:val="auto"/>
          <w:sz w:val="32"/>
          <w:szCs w:val="32"/>
          <w:highlight w:val="none"/>
          <w:lang w:val="en-US" w:eastAsia="zh-CN" w:bidi="ar"/>
        </w:rPr>
        <w:t>年度“三公”经费支出决算小于预算数的主要情况：认真贯彻落实中央八项规定精神和厉行节约的要求，从严控制“三公”经费开支，全年实际支出比预算有所节约。</w:t>
      </w:r>
    </w:p>
    <w:p w14:paraId="4FACE4DF">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2025</w:t>
      </w:r>
      <w:r>
        <w:rPr>
          <w:rFonts w:hint="eastAsia" w:ascii="仿宋_GB2312" w:hAnsi="仿宋_GB2312" w:eastAsia="仿宋_GB2312" w:cs="仿宋_GB2312"/>
          <w:bCs/>
          <w:color w:val="auto"/>
          <w:sz w:val="32"/>
          <w:szCs w:val="32"/>
          <w:highlight w:val="none"/>
          <w:lang w:val="en-US" w:eastAsia="zh-CN" w:bidi="ar"/>
        </w:rPr>
        <w:t>年度“三公”经费支出决算小于上年决算数的主要情况：认真贯彻落实中央八项规定精神和厉行节约的要求，继续从严控制“三公”经费开支，减压“三公”经费。</w:t>
      </w:r>
    </w:p>
    <w:p w14:paraId="5351C009">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left"/>
        <w:textAlignment w:val="auto"/>
        <w:rPr>
          <w:rFonts w:hint="eastAsia"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二、“三公”经费财政拨款支出决算具体情况说明</w:t>
      </w:r>
    </w:p>
    <w:p w14:paraId="13D8CBE5">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2025</w:t>
      </w:r>
      <w:r>
        <w:rPr>
          <w:rFonts w:hint="eastAsia" w:ascii="仿宋_GB2312" w:hAnsi="仿宋_GB2312" w:eastAsia="仿宋_GB2312" w:cs="仿宋_GB2312"/>
          <w:bCs/>
          <w:color w:val="auto"/>
          <w:sz w:val="32"/>
          <w:szCs w:val="32"/>
          <w:highlight w:val="none"/>
          <w:lang w:val="en-US" w:eastAsia="zh-CN" w:bidi="ar"/>
        </w:rPr>
        <w:t>年度“三公”经费财政拨款支出决算中，因公出国（境）费</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万元，占</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%；公务用车购置及运行维护费支出</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48</w:t>
      </w:r>
      <w:r>
        <w:rPr>
          <w:rFonts w:hint="eastAsia" w:ascii="仿宋_GB2312" w:hAnsi="仿宋_GB2312" w:eastAsia="仿宋_GB2312" w:cs="仿宋_GB2312"/>
          <w:bCs/>
          <w:color w:val="auto"/>
          <w:sz w:val="32"/>
          <w:szCs w:val="32"/>
          <w:highlight w:val="none"/>
          <w:lang w:val="en-US" w:eastAsia="zh-CN" w:bidi="ar"/>
        </w:rPr>
        <w:t>万元，占</w:t>
      </w:r>
      <w:r>
        <w:rPr>
          <w:rFonts w:hint="default" w:ascii="Times New Roman" w:hAnsi="Times New Roman" w:eastAsia="仿宋_GB2312" w:cs="Times New Roman"/>
          <w:bCs/>
          <w:color w:val="auto"/>
          <w:sz w:val="32"/>
          <w:szCs w:val="32"/>
          <w:highlight w:val="none"/>
          <w:lang w:val="en-US" w:eastAsia="zh-CN" w:bidi="ar"/>
        </w:rPr>
        <w:t>87</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%；公务接待费支出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22</w:t>
      </w:r>
      <w:r>
        <w:rPr>
          <w:rFonts w:hint="eastAsia" w:ascii="仿宋_GB2312" w:hAnsi="仿宋_GB2312" w:eastAsia="仿宋_GB2312" w:cs="仿宋_GB2312"/>
          <w:bCs/>
          <w:color w:val="auto"/>
          <w:sz w:val="32"/>
          <w:szCs w:val="32"/>
          <w:highlight w:val="none"/>
          <w:lang w:val="en-US" w:eastAsia="zh-CN" w:bidi="ar"/>
        </w:rPr>
        <w:t>万元，占</w:t>
      </w:r>
      <w:r>
        <w:rPr>
          <w:rFonts w:hint="default" w:ascii="Times New Roman" w:hAnsi="Times New Roman" w:eastAsia="仿宋_GB2312" w:cs="Times New Roman"/>
          <w:bCs/>
          <w:color w:val="auto"/>
          <w:sz w:val="32"/>
          <w:szCs w:val="32"/>
          <w:highlight w:val="none"/>
          <w:lang w:val="en-US" w:eastAsia="zh-CN" w:bidi="ar"/>
        </w:rPr>
        <w:t>12</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8</w:t>
      </w:r>
      <w:r>
        <w:rPr>
          <w:rFonts w:hint="eastAsia" w:ascii="仿宋_GB2312" w:hAnsi="仿宋_GB2312" w:eastAsia="仿宋_GB2312" w:cs="仿宋_GB2312"/>
          <w:bCs/>
          <w:color w:val="auto"/>
          <w:sz w:val="32"/>
          <w:szCs w:val="32"/>
          <w:highlight w:val="none"/>
          <w:lang w:val="en-US" w:eastAsia="zh-CN" w:bidi="ar"/>
        </w:rPr>
        <w:t>%。具体情况如下：</w:t>
      </w:r>
    </w:p>
    <w:p w14:paraId="7AABB5FD">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.因公出国（境）费支出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万元。全年使用财政拨款安排出国（境）团组</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个、累计</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人次。</w:t>
      </w:r>
    </w:p>
    <w:p w14:paraId="185A8A9B">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.公务用车购置及运行维护费支出</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48</w:t>
      </w:r>
      <w:r>
        <w:rPr>
          <w:rFonts w:hint="eastAsia" w:ascii="仿宋_GB2312" w:hAnsi="仿宋_GB2312" w:eastAsia="仿宋_GB2312" w:cs="仿宋_GB2312"/>
          <w:bCs/>
          <w:color w:val="auto"/>
          <w:sz w:val="32"/>
          <w:szCs w:val="32"/>
          <w:highlight w:val="none"/>
          <w:lang w:val="en-US" w:eastAsia="zh-CN" w:bidi="ar"/>
        </w:rPr>
        <w:t>万元，其中：公务用车购置支出为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万元，公务用车购置数</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辆。公务用车运行维护费支出</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48</w:t>
      </w:r>
      <w:r>
        <w:rPr>
          <w:rFonts w:hint="eastAsia" w:ascii="仿宋_GB2312" w:hAnsi="仿宋_GB2312" w:eastAsia="仿宋_GB2312" w:cs="仿宋_GB2312"/>
          <w:bCs/>
          <w:color w:val="auto"/>
          <w:sz w:val="32"/>
          <w:szCs w:val="32"/>
          <w:highlight w:val="none"/>
          <w:lang w:val="en-US" w:eastAsia="zh-CN" w:bidi="ar"/>
        </w:rPr>
        <w:t>万元，公务用车保有量为</w:t>
      </w:r>
      <w:r>
        <w:rPr>
          <w:rFonts w:hint="default" w:ascii="Times New Roman" w:hAnsi="Times New Roman" w:eastAsia="仿宋_GB2312" w:cs="Times New Roman"/>
          <w:bCs/>
          <w:color w:val="auto"/>
          <w:sz w:val="32"/>
          <w:szCs w:val="32"/>
          <w:highlight w:val="none"/>
          <w:lang w:val="en-US" w:eastAsia="zh-CN" w:bidi="ar"/>
        </w:rPr>
        <w:t>2</w:t>
      </w:r>
      <w:r>
        <w:rPr>
          <w:rFonts w:hint="eastAsia" w:ascii="仿宋_GB2312" w:hAnsi="仿宋_GB2312" w:eastAsia="仿宋_GB2312" w:cs="仿宋_GB2312"/>
          <w:bCs/>
          <w:color w:val="auto"/>
          <w:sz w:val="32"/>
          <w:szCs w:val="32"/>
          <w:highlight w:val="none"/>
          <w:lang w:val="en-US" w:eastAsia="zh-CN" w:bidi="ar"/>
        </w:rPr>
        <w:t>辆，主要用于一般公务出行。</w:t>
      </w:r>
    </w:p>
    <w:p w14:paraId="670ED55D">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r>
        <w:rPr>
          <w:rFonts w:hint="default" w:ascii="Times New Roman" w:hAnsi="Times New Roman" w:eastAsia="仿宋_GB2312" w:cs="Times New Roman"/>
          <w:bCs/>
          <w:color w:val="auto"/>
          <w:sz w:val="32"/>
          <w:szCs w:val="32"/>
          <w:highlight w:val="none"/>
          <w:lang w:val="en-US" w:eastAsia="zh-CN" w:bidi="ar"/>
        </w:rPr>
        <w:t>3</w:t>
      </w:r>
      <w:r>
        <w:rPr>
          <w:rFonts w:hint="eastAsia" w:ascii="仿宋_GB2312" w:hAnsi="仿宋_GB2312" w:eastAsia="仿宋_GB2312" w:cs="仿宋_GB2312"/>
          <w:bCs/>
          <w:color w:val="auto"/>
          <w:sz w:val="32"/>
          <w:szCs w:val="32"/>
          <w:highlight w:val="none"/>
          <w:lang w:val="en-US" w:eastAsia="zh-CN" w:bidi="ar"/>
        </w:rPr>
        <w:t>.公务接待费支出</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w:t>
      </w:r>
      <w:r>
        <w:rPr>
          <w:rFonts w:hint="default" w:ascii="Times New Roman" w:hAnsi="Times New Roman" w:eastAsia="仿宋_GB2312" w:cs="Times New Roman"/>
          <w:bCs/>
          <w:color w:val="auto"/>
          <w:sz w:val="32"/>
          <w:szCs w:val="32"/>
          <w:highlight w:val="none"/>
          <w:lang w:val="en-US" w:eastAsia="zh-CN" w:bidi="ar"/>
        </w:rPr>
        <w:t>22</w:t>
      </w:r>
      <w:r>
        <w:rPr>
          <w:rFonts w:hint="eastAsia" w:ascii="仿宋_GB2312" w:hAnsi="仿宋_GB2312" w:eastAsia="仿宋_GB2312" w:cs="仿宋_GB2312"/>
          <w:bCs/>
          <w:color w:val="auto"/>
          <w:sz w:val="32"/>
          <w:szCs w:val="32"/>
          <w:highlight w:val="none"/>
          <w:lang w:val="en-US" w:eastAsia="zh-CN" w:bidi="ar"/>
        </w:rPr>
        <w:t>万元，主要用于省市上级审计部门单位检查和相关单位交流工作等方面的接待，共接待国外、境外来访团组</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个，来访外宾</w:t>
      </w:r>
      <w:r>
        <w:rPr>
          <w:rFonts w:hint="default" w:ascii="Times New Roman" w:hAnsi="Times New Roman" w:eastAsia="仿宋_GB2312" w:cs="Times New Roman"/>
          <w:bCs/>
          <w:color w:val="auto"/>
          <w:sz w:val="32"/>
          <w:szCs w:val="32"/>
          <w:highlight w:val="none"/>
          <w:lang w:val="en-US" w:eastAsia="zh-CN" w:bidi="ar"/>
        </w:rPr>
        <w:t>0</w:t>
      </w:r>
      <w:r>
        <w:rPr>
          <w:rFonts w:hint="eastAsia" w:ascii="仿宋_GB2312" w:hAnsi="仿宋_GB2312" w:eastAsia="仿宋_GB2312" w:cs="仿宋_GB2312"/>
          <w:bCs/>
          <w:color w:val="auto"/>
          <w:sz w:val="32"/>
          <w:szCs w:val="32"/>
          <w:highlight w:val="none"/>
          <w:lang w:val="en-US" w:eastAsia="zh-CN" w:bidi="ar"/>
        </w:rPr>
        <w:t>人次；发生国内接待</w:t>
      </w:r>
      <w:r>
        <w:rPr>
          <w:rFonts w:hint="default" w:ascii="Times New Roman" w:hAnsi="Times New Roman" w:eastAsia="仿宋_GB2312" w:cs="Times New Roman"/>
          <w:bCs/>
          <w:color w:val="auto"/>
          <w:sz w:val="32"/>
          <w:szCs w:val="32"/>
          <w:highlight w:val="none"/>
          <w:lang w:val="en-US" w:eastAsia="zh-CN" w:bidi="ar"/>
        </w:rPr>
        <w:t>1</w:t>
      </w:r>
      <w:r>
        <w:rPr>
          <w:rFonts w:hint="eastAsia" w:ascii="仿宋_GB2312" w:hAnsi="仿宋_GB2312" w:eastAsia="仿宋_GB2312" w:cs="仿宋_GB2312"/>
          <w:bCs/>
          <w:color w:val="auto"/>
          <w:sz w:val="32"/>
          <w:szCs w:val="32"/>
          <w:highlight w:val="none"/>
          <w:lang w:val="en-US" w:eastAsia="zh-CN" w:bidi="ar"/>
        </w:rPr>
        <w:t>次，接待人数共</w:t>
      </w:r>
      <w:r>
        <w:rPr>
          <w:rFonts w:hint="default" w:ascii="Times New Roman" w:hAnsi="Times New Roman" w:eastAsia="仿宋_GB2312" w:cs="Times New Roman"/>
          <w:bCs/>
          <w:color w:val="auto"/>
          <w:sz w:val="32"/>
          <w:szCs w:val="32"/>
          <w:highlight w:val="none"/>
          <w:lang w:val="en-US" w:eastAsia="zh-CN" w:bidi="ar"/>
        </w:rPr>
        <w:t>9</w:t>
      </w:r>
      <w:r>
        <w:rPr>
          <w:rFonts w:hint="eastAsia" w:ascii="仿宋_GB2312" w:hAnsi="仿宋_GB2312" w:eastAsia="仿宋_GB2312" w:cs="仿宋_GB2312"/>
          <w:bCs/>
          <w:color w:val="auto"/>
          <w:sz w:val="32"/>
          <w:szCs w:val="32"/>
          <w:highlight w:val="none"/>
          <w:lang w:val="en-US" w:eastAsia="zh-CN" w:bidi="ar"/>
        </w:rPr>
        <w:t>人。主要包括省市上级审计部门单位检查和相关单位交流工作等方面的接待。</w:t>
      </w:r>
    </w:p>
    <w:p w14:paraId="22E25CAA">
      <w:pPr>
        <w:keepNext w:val="0"/>
        <w:keepLines w:val="0"/>
        <w:pageBreakBefore w:val="0"/>
        <w:widowControl w:val="0"/>
        <w:numPr>
          <w:ilvl w:val="0"/>
          <w:numId w:val="0"/>
        </w:numPr>
        <w:kinsoku/>
        <w:wordWrap/>
        <w:overflowPunct/>
        <w:topLinePunct w:val="0"/>
        <w:autoSpaceDE/>
        <w:bidi w:val="0"/>
        <w:spacing w:line="540" w:lineRule="exact"/>
        <w:ind w:firstLine="640" w:firstLineChars="200"/>
        <w:textAlignment w:val="auto"/>
        <w:rPr>
          <w:rFonts w:hint="eastAsia" w:ascii="仿宋_GB2312" w:hAnsi="仿宋_GB2312" w:eastAsia="仿宋_GB2312" w:cs="仿宋_GB2312"/>
          <w:bCs/>
          <w:color w:val="auto"/>
          <w:sz w:val="32"/>
          <w:szCs w:val="32"/>
          <w:highlight w:val="none"/>
          <w:lang w:val="en-US" w:eastAsia="zh-CN" w:bidi="ar"/>
        </w:rPr>
      </w:pPr>
    </w:p>
    <w:p w14:paraId="6E2C8144">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14:paraId="1247FBF3">
      <w:pPr>
        <w:pStyle w:val="2"/>
        <w:rPr>
          <w:rFonts w:hint="eastAsia"/>
          <w:lang w:val="en-US" w:eastAsia="zh-CN"/>
        </w:rPr>
      </w:pPr>
    </w:p>
    <w:p w14:paraId="3EC5FD4C">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阳西县审计局</w:t>
      </w:r>
    </w:p>
    <w:p w14:paraId="68C02F61">
      <w:pPr>
        <w:keepNext w:val="0"/>
        <w:keepLines w:val="0"/>
        <w:pageBreakBefore w:val="0"/>
        <w:widowControl/>
        <w:suppressLineNumbers w:val="0"/>
        <w:kinsoku/>
        <w:wordWrap/>
        <w:overflowPunct/>
        <w:topLinePunct w:val="0"/>
        <w:autoSpaceDE/>
        <w:autoSpaceDN/>
        <w:bidi w:val="0"/>
        <w:adjustRightInd/>
        <w:snapToGrid/>
        <w:spacing w:line="560" w:lineRule="atLeast"/>
        <w:ind w:firstLine="640" w:firstLineChars="200"/>
        <w:jc w:val="right"/>
        <w:textAlignment w:val="auto"/>
        <w:rPr>
          <w:rFonts w:hint="eastAsia" w:ascii="仿宋_GB2312" w:hAnsi="仿宋_GB2312" w:eastAsia="仿宋_GB2312" w:cs="仿宋_GB2312"/>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2026</w:t>
      </w:r>
      <w:r>
        <w:rPr>
          <w:rFonts w:hint="eastAsia" w:ascii="仿宋_GB2312" w:hAnsi="仿宋_GB2312" w:eastAsia="仿宋_GB2312" w:cs="仿宋_GB2312"/>
          <w:color w:val="000000"/>
          <w:kern w:val="0"/>
          <w:sz w:val="32"/>
          <w:szCs w:val="32"/>
          <w:lang w:val="en-US" w:eastAsia="zh-CN" w:bidi="ar"/>
        </w:rPr>
        <w:t>年</w:t>
      </w:r>
      <w:r>
        <w:rPr>
          <w:rFonts w:hint="default" w:ascii="Times New Roman" w:hAnsi="Times New Roman" w:eastAsia="仿宋_GB2312" w:cs="Times New Roman"/>
          <w:color w:val="000000"/>
          <w:kern w:val="0"/>
          <w:sz w:val="32"/>
          <w:szCs w:val="32"/>
          <w:lang w:val="en-US" w:eastAsia="zh-CN" w:bidi="ar"/>
        </w:rPr>
        <w:t>9</w:t>
      </w:r>
      <w:r>
        <w:rPr>
          <w:rFonts w:hint="eastAsia" w:ascii="仿宋_GB2312" w:hAnsi="仿宋_GB2312" w:eastAsia="仿宋_GB2312" w:cs="仿宋_GB2312"/>
          <w:color w:val="000000"/>
          <w:kern w:val="0"/>
          <w:sz w:val="32"/>
          <w:szCs w:val="32"/>
          <w:lang w:val="en-US" w:eastAsia="zh-CN" w:bidi="ar"/>
        </w:rPr>
        <w:t>月</w:t>
      </w:r>
      <w:r>
        <w:rPr>
          <w:rFonts w:hint="default" w:ascii="Times New Roman" w:hAnsi="Times New Roman" w:eastAsia="仿宋_GB2312" w:cs="Times New Roman"/>
          <w:color w:val="000000"/>
          <w:kern w:val="0"/>
          <w:sz w:val="32"/>
          <w:szCs w:val="32"/>
          <w:lang w:val="en-US" w:eastAsia="zh-CN" w:bidi="ar"/>
        </w:rPr>
        <w:t>30</w:t>
      </w:r>
      <w:r>
        <w:rPr>
          <w:rFonts w:hint="eastAsia" w:ascii="仿宋_GB2312" w:hAnsi="仿宋_GB2312" w:eastAsia="仿宋_GB2312" w:cs="仿宋_GB2312"/>
          <w:color w:val="000000"/>
          <w:kern w:val="0"/>
          <w:sz w:val="32"/>
          <w:szCs w:val="32"/>
          <w:lang w:val="en-US" w:eastAsia="zh-CN" w:bidi="ar"/>
        </w:rPr>
        <w:t>日</w:t>
      </w:r>
    </w:p>
    <w:sectPr>
      <w:pgSz w:w="11906" w:h="16838"/>
      <w:pgMar w:top="192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ZjU3NjU0YTUxNDU0OGFmOGE1YWM4YmVmMmQ0YjMifQ=="/>
  </w:docVars>
  <w:rsids>
    <w:rsidRoot w:val="00000000"/>
    <w:rsid w:val="05AE0492"/>
    <w:rsid w:val="16FE64D1"/>
    <w:rsid w:val="1A0B1325"/>
    <w:rsid w:val="38804D57"/>
    <w:rsid w:val="3D864BBD"/>
    <w:rsid w:val="42D55C9F"/>
    <w:rsid w:val="51404C2B"/>
    <w:rsid w:val="66664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qFormat/>
    <w:uiPriority w:val="0"/>
    <w:pPr>
      <w:spacing w:line="240" w:lineRule="auto"/>
      <w:ind w:firstLine="600"/>
    </w:pPr>
    <w:rPr>
      <w:rFonts w:ascii="宋体" w:hAnsi="宋体" w:eastAsia="宋体"/>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863</Words>
  <Characters>982</Characters>
  <Lines>0</Lines>
  <Paragraphs>0</Paragraphs>
  <TotalTime>14</TotalTime>
  <ScaleCrop>false</ScaleCrop>
  <LinksUpToDate>false</LinksUpToDate>
  <CharactersWithSpaces>1014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2024-10-14T07:47:00Z</dcterms:created>
  <dc:creator>财会室</dc:creator>
  <cp:lastModifiedBy>嬅娟</cp:lastModifiedBy>
  <cp:lastPrinted>2024-10-14T07:58:00Z</cp:lastPrinted>
  <dcterms:modified xsi:type="dcterms:W3CDTF">2026-10-01T01:39:14Z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27DC2CDD65E348648D4151F577695D23_12</vt:lpwstr>
  </property>
  <property fmtid="{D5CDD505-2E9C-101B-9397-08002B2CF9AE}" pid="4" name="KSOTemplateDocerSaveRecord">
    <vt:lpwstr>eyJoZGlkIjoiZGM5YjhhYmVmNWRlZDgxMTYzNzczZTc5ZjY2MjhmYTQiLCJ1c2VySWQiOiI0NTcyNzU5MTkifQ==</vt:lpwstr>
  </property>
</Properties>
</file>