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A32D7">
      <w:pPr>
        <w:rPr>
          <w:rFonts w:ascii="宋体" w:hAnsi="宋体" w:eastAsia="宋体"/>
          <w:color w:val="auto"/>
          <w:sz w:val="28"/>
          <w:szCs w:val="28"/>
          <w:highlight w:val="none"/>
        </w:rPr>
      </w:pPr>
      <w:bookmarkStart w:id="27" w:name="_GoBack"/>
      <w:r>
        <w:rPr>
          <w:rFonts w:hint="eastAsia" w:ascii="宋体" w:hAnsi="宋体" w:eastAsia="宋体"/>
          <w:color w:val="auto"/>
          <w:sz w:val="28"/>
          <w:szCs w:val="28"/>
          <w:highlight w:val="none"/>
        </w:rPr>
        <w:t>附件</w:t>
      </w:r>
      <w:r>
        <w:rPr>
          <w:rFonts w:hint="default" w:ascii="Times New Roman" w:hAnsi="Times New Roman" w:eastAsia="宋体" w:cs="Times New Roman"/>
          <w:color w:val="auto"/>
          <w:sz w:val="28"/>
          <w:szCs w:val="28"/>
          <w:highlight w:val="none"/>
        </w:rPr>
        <w:t>2</w:t>
      </w:r>
      <w:r>
        <w:rPr>
          <w:rFonts w:hint="eastAsia" w:ascii="宋体" w:hAnsi="宋体" w:eastAsia="宋体"/>
          <w:color w:val="auto"/>
          <w:sz w:val="28"/>
          <w:szCs w:val="28"/>
          <w:highlight w:val="none"/>
        </w:rPr>
        <w:t>-</w:t>
      </w:r>
      <w:r>
        <w:rPr>
          <w:rFonts w:hint="default" w:ascii="Times New Roman" w:hAnsi="Times New Roman" w:eastAsia="宋体" w:cs="Times New Roman"/>
          <w:color w:val="auto"/>
          <w:sz w:val="28"/>
          <w:szCs w:val="28"/>
          <w:highlight w:val="none"/>
        </w:rPr>
        <w:t>3</w:t>
      </w:r>
    </w:p>
    <w:p w14:paraId="6DCCCCBA">
      <w:pPr>
        <w:rPr>
          <w:color w:val="auto"/>
          <w:highlight w:val="none"/>
        </w:rPr>
      </w:pPr>
    </w:p>
    <w:p w14:paraId="7578889B">
      <w:pPr>
        <w:pStyle w:val="2"/>
        <w:rPr>
          <w:highlight w:val="none"/>
        </w:rPr>
      </w:pPr>
    </w:p>
    <w:p w14:paraId="7308B549">
      <w:pPr>
        <w:pStyle w:val="2"/>
        <w:rPr>
          <w:highlight w:val="none"/>
        </w:rPr>
      </w:pPr>
    </w:p>
    <w:p w14:paraId="7E25E7E1">
      <w:pPr>
        <w:spacing w:line="360" w:lineRule="auto"/>
        <w:jc w:val="center"/>
        <w:rPr>
          <w:rFonts w:ascii="方正小标宋简体" w:eastAsia="方正小标宋简体"/>
          <w:color w:val="auto"/>
          <w:sz w:val="44"/>
          <w:szCs w:val="44"/>
          <w:highlight w:val="none"/>
        </w:rPr>
      </w:pPr>
      <w:r>
        <w:rPr>
          <w:rFonts w:hint="eastAsia" w:ascii="方正小标宋简体" w:eastAsia="方正小标宋简体"/>
          <w:color w:val="auto"/>
          <w:sz w:val="44"/>
          <w:szCs w:val="44"/>
          <w:highlight w:val="none"/>
        </w:rPr>
        <w:t>县级部门整体支出绩效自评报告</w:t>
      </w:r>
    </w:p>
    <w:p w14:paraId="38A5500D">
      <w:pPr>
        <w:rPr>
          <w:color w:val="auto"/>
          <w:highlight w:val="none"/>
        </w:rPr>
      </w:pPr>
    </w:p>
    <w:p w14:paraId="694DA968">
      <w:pPr>
        <w:rPr>
          <w:color w:val="auto"/>
          <w:highlight w:val="none"/>
        </w:rPr>
      </w:pPr>
    </w:p>
    <w:p w14:paraId="535B69D4">
      <w:pPr>
        <w:pStyle w:val="2"/>
        <w:rPr>
          <w:highlight w:val="none"/>
        </w:rPr>
      </w:pPr>
    </w:p>
    <w:p w14:paraId="53354A44">
      <w:pPr>
        <w:rPr>
          <w:color w:val="auto"/>
          <w:highlight w:val="none"/>
        </w:rPr>
      </w:pPr>
    </w:p>
    <w:p w14:paraId="743D6563">
      <w:pPr>
        <w:pStyle w:val="2"/>
        <w:rPr>
          <w:highlight w:val="none"/>
        </w:rPr>
      </w:pPr>
    </w:p>
    <w:p w14:paraId="3BE23F14">
      <w:pPr>
        <w:pStyle w:val="2"/>
        <w:rPr>
          <w:highlight w:val="none"/>
        </w:rPr>
      </w:pPr>
    </w:p>
    <w:p w14:paraId="7C631239">
      <w:pPr>
        <w:rPr>
          <w:color w:val="auto"/>
          <w:highlight w:val="none"/>
        </w:rPr>
      </w:pPr>
    </w:p>
    <w:p w14:paraId="3A6F81F4">
      <w:pPr>
        <w:ind w:firstLine="1894" w:firstLineChars="592"/>
        <w:rPr>
          <w:rFonts w:hint="eastAsia" w:ascii="仿宋_GB2312"/>
          <w:color w:val="auto"/>
          <w:highlight w:val="none"/>
          <w:lang w:val="en-US" w:eastAsia="zh-CN"/>
        </w:rPr>
      </w:pPr>
      <w:r>
        <w:rPr>
          <w:rFonts w:hint="eastAsia"/>
          <w:color w:val="auto"/>
          <w:highlight w:val="none"/>
        </w:rPr>
        <w:t>部门名称（公章）：</w:t>
      </w:r>
      <w:r>
        <w:rPr>
          <w:rFonts w:hint="eastAsia" w:ascii="仿宋_GB2312"/>
          <w:color w:val="auto"/>
          <w:highlight w:val="none"/>
          <w:lang w:val="en-US" w:eastAsia="zh-CN"/>
        </w:rPr>
        <w:t>阳西县审计局</w:t>
      </w:r>
    </w:p>
    <w:p w14:paraId="64EFAE4C">
      <w:pPr>
        <w:ind w:firstLine="1894" w:firstLineChars="592"/>
        <w:rPr>
          <w:rFonts w:hint="default" w:eastAsia="仿宋_GB2312"/>
          <w:color w:val="auto"/>
          <w:highlight w:val="none"/>
          <w:lang w:val="en-US" w:eastAsia="zh-CN"/>
        </w:rPr>
      </w:pPr>
      <w:r>
        <w:rPr>
          <w:rFonts w:hint="eastAsia"/>
          <w:color w:val="auto"/>
          <w:highlight w:val="none"/>
        </w:rPr>
        <w:t>填报日期：</w:t>
      </w:r>
      <w:r>
        <w:rPr>
          <w:rFonts w:hint="default" w:ascii="Times New Roman" w:hAnsi="Times New Roman" w:cs="Times New Roman"/>
          <w:color w:val="auto"/>
          <w:highlight w:val="none"/>
          <w:lang w:val="en-US" w:eastAsia="zh-CN"/>
        </w:rPr>
        <w:t>2026</w:t>
      </w:r>
      <w:r>
        <w:rPr>
          <w:rFonts w:hint="eastAsia"/>
          <w:color w:val="auto"/>
          <w:highlight w:val="none"/>
          <w:lang w:val="en-US" w:eastAsia="zh-CN"/>
        </w:rPr>
        <w:t>年</w:t>
      </w:r>
      <w:r>
        <w:rPr>
          <w:rFonts w:hint="default" w:ascii="Times New Roman" w:hAnsi="Times New Roman" w:cs="Times New Roman"/>
          <w:color w:val="auto"/>
          <w:highlight w:val="none"/>
          <w:lang w:val="en-US" w:eastAsia="zh-CN"/>
        </w:rPr>
        <w:t>4</w:t>
      </w:r>
      <w:r>
        <w:rPr>
          <w:rFonts w:hint="eastAsia"/>
          <w:color w:val="auto"/>
          <w:highlight w:val="none"/>
          <w:lang w:val="en-US" w:eastAsia="zh-CN"/>
        </w:rPr>
        <w:t>月</w:t>
      </w:r>
    </w:p>
    <w:p w14:paraId="3D41C5C0">
      <w:pPr>
        <w:rPr>
          <w:color w:val="auto"/>
          <w:highlight w:val="none"/>
        </w:rPr>
      </w:pPr>
    </w:p>
    <w:p w14:paraId="674D5A51">
      <w:pPr>
        <w:rPr>
          <w:color w:val="auto"/>
          <w:highlight w:val="none"/>
        </w:rPr>
      </w:pPr>
    </w:p>
    <w:p w14:paraId="1AF2E090">
      <w:pPr>
        <w:rPr>
          <w:color w:val="auto"/>
          <w:highlight w:val="none"/>
        </w:rPr>
      </w:pPr>
    </w:p>
    <w:p w14:paraId="2340E1AD">
      <w:pPr>
        <w:rPr>
          <w:color w:val="auto"/>
          <w:highlight w:val="none"/>
        </w:rPr>
      </w:pPr>
    </w:p>
    <w:p w14:paraId="11AD3526">
      <w:pPr>
        <w:rPr>
          <w:color w:val="auto"/>
          <w:highlight w:val="none"/>
        </w:rPr>
      </w:pPr>
      <w:r>
        <w:rPr>
          <w:rFonts w:hint="eastAsia"/>
          <w:color w:val="auto"/>
          <w:highlight w:val="none"/>
        </w:rPr>
        <w:t xml:space="preserve">                     阳西县财政局制</w:t>
      </w:r>
    </w:p>
    <w:p w14:paraId="6E7C5845">
      <w:pPr>
        <w:rPr>
          <w:color w:val="auto"/>
          <w:highlight w:val="none"/>
        </w:rPr>
      </w:pPr>
      <w:r>
        <w:rPr>
          <w:rFonts w:hint="eastAsia"/>
          <w:color w:val="auto"/>
          <w:highlight w:val="none"/>
        </w:rPr>
        <w:t xml:space="preserve">                         </w:t>
      </w:r>
      <w:r>
        <w:rPr>
          <w:rFonts w:hint="default" w:ascii="Times New Roman" w:hAnsi="Times New Roman" w:cs="Times New Roman"/>
          <w:color w:val="auto"/>
          <w:highlight w:val="none"/>
        </w:rPr>
        <w:t>202</w:t>
      </w:r>
      <w:r>
        <w:rPr>
          <w:rFonts w:hint="default" w:ascii="Times New Roman" w:hAnsi="Times New Roman" w:cs="Times New Roman"/>
          <w:color w:val="auto"/>
          <w:highlight w:val="none"/>
          <w:lang w:val="en-US" w:eastAsia="zh-CN"/>
        </w:rPr>
        <w:t>6</w:t>
      </w:r>
      <w:r>
        <w:rPr>
          <w:rFonts w:hint="eastAsia"/>
          <w:color w:val="auto"/>
          <w:highlight w:val="none"/>
        </w:rPr>
        <w:t>年</w:t>
      </w:r>
    </w:p>
    <w:p w14:paraId="6E7EDF86">
      <w:pPr>
        <w:rPr>
          <w:color w:val="auto"/>
          <w:highlight w:val="none"/>
        </w:rPr>
      </w:pPr>
    </w:p>
    <w:p w14:paraId="2FD9B15B">
      <w:pPr>
        <w:pStyle w:val="11"/>
        <w:ind w:firstLine="640"/>
        <w:rPr>
          <w:rFonts w:ascii="仿宋_GB2312" w:hAnsi="Times New Roman" w:eastAsia="仿宋_GB2312"/>
          <w:color w:val="auto"/>
          <w:sz w:val="32"/>
          <w:szCs w:val="32"/>
          <w:highlight w:val="none"/>
        </w:rPr>
        <w:sectPr>
          <w:pgSz w:w="11906" w:h="16838"/>
          <w:pgMar w:top="2041" w:right="1417" w:bottom="1417" w:left="1531" w:header="851" w:footer="992" w:gutter="0"/>
          <w:pgNumType w:fmt="decimal" w:start="1"/>
          <w:cols w:space="720" w:num="1"/>
          <w:docGrid w:type="lines" w:linePitch="312" w:charSpace="0"/>
        </w:sectPr>
      </w:pPr>
    </w:p>
    <w:p w14:paraId="74200C38">
      <w:pPr>
        <w:ind w:firstLine="616" w:firstLineChars="200"/>
        <w:rPr>
          <w:rFonts w:ascii="方正小标宋简体" w:eastAsia="方正小标宋简体"/>
          <w:color w:val="auto"/>
          <w:highlight w:val="none"/>
        </w:rPr>
      </w:pPr>
      <w:bookmarkStart w:id="0" w:name="_Toc28838"/>
      <w:bookmarkStart w:id="1" w:name="_Toc8021_WPSOffice_Level2"/>
      <w:r>
        <w:rPr>
          <w:rFonts w:hint="eastAsia" w:ascii="方正小标宋简体" w:eastAsia="方正小标宋简体"/>
          <w:color w:val="auto"/>
          <w:highlight w:val="none"/>
        </w:rPr>
        <w:t>一、部门基本情况</w:t>
      </w:r>
      <w:bookmarkEnd w:id="0"/>
    </w:p>
    <w:bookmarkEnd w:id="1"/>
    <w:p w14:paraId="700FCA76">
      <w:pPr>
        <w:ind w:firstLine="616" w:firstLineChars="200"/>
        <w:rPr>
          <w:rFonts w:hint="eastAsia" w:ascii="楷体" w:hAnsi="楷体" w:eastAsia="楷体" w:cs="楷体"/>
          <w:b w:val="0"/>
          <w:bCs/>
          <w:color w:val="auto"/>
          <w:highlight w:val="none"/>
        </w:rPr>
      </w:pPr>
      <w:bookmarkStart w:id="2" w:name="_Toc23683"/>
      <w:bookmarkStart w:id="3" w:name="_Toc5988_WPSOffice_Level3"/>
      <w:bookmarkStart w:id="4" w:name="_Toc30104"/>
      <w:r>
        <w:rPr>
          <w:rFonts w:hint="eastAsia" w:ascii="楷体" w:hAnsi="楷体" w:eastAsia="楷体" w:cs="楷体"/>
          <w:b w:val="0"/>
          <w:bCs/>
          <w:color w:val="auto"/>
          <w:highlight w:val="none"/>
        </w:rPr>
        <w:t>（一）部门整体概况</w:t>
      </w:r>
      <w:bookmarkEnd w:id="2"/>
      <w:bookmarkEnd w:id="3"/>
      <w:bookmarkEnd w:id="4"/>
    </w:p>
    <w:p w14:paraId="2FCBB440">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eastAsia" w:ascii="仿宋_GB2312" w:hAnsi="仿宋_GB2312" w:cs="仿宋_GB2312"/>
          <w:b/>
          <w:bCs w:val="0"/>
          <w:color w:val="auto"/>
          <w:sz w:val="32"/>
          <w:szCs w:val="32"/>
          <w:highlight w:val="none"/>
          <w:lang w:val="en-US" w:eastAsia="zh-CN" w:bidi="ar"/>
        </w:rPr>
      </w:pPr>
      <w:bookmarkStart w:id="5" w:name="_Toc14936_WPSOffice_Level2"/>
      <w:bookmarkStart w:id="6" w:name="_Toc25996"/>
      <w:r>
        <w:rPr>
          <w:rFonts w:hint="default" w:ascii="Times New Roman" w:hAnsi="Times New Roman" w:cs="Times New Roman"/>
          <w:b/>
          <w:bCs w:val="0"/>
          <w:color w:val="auto"/>
          <w:sz w:val="32"/>
          <w:szCs w:val="32"/>
          <w:highlight w:val="none"/>
          <w:lang w:val="en-US" w:eastAsia="zh-CN" w:bidi="ar"/>
        </w:rPr>
        <w:t>1</w:t>
      </w:r>
      <w:r>
        <w:rPr>
          <w:rFonts w:hint="eastAsia" w:ascii="仿宋_GB2312" w:hAnsi="仿宋_GB2312" w:cs="仿宋_GB2312"/>
          <w:b/>
          <w:bCs w:val="0"/>
          <w:color w:val="auto"/>
          <w:sz w:val="32"/>
          <w:szCs w:val="32"/>
          <w:highlight w:val="none"/>
          <w:lang w:val="en-US" w:eastAsia="zh-CN" w:bidi="ar"/>
        </w:rPr>
        <w:t>.部门主要职责</w:t>
      </w:r>
    </w:p>
    <w:p w14:paraId="228EE1A9">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1</w:t>
      </w:r>
      <w:r>
        <w:rPr>
          <w:rFonts w:hint="default" w:ascii="仿宋_GB2312" w:hAnsi="仿宋_GB2312" w:cs="仿宋_GB2312"/>
          <w:bCs/>
          <w:color w:val="auto"/>
          <w:sz w:val="32"/>
          <w:szCs w:val="32"/>
          <w:highlight w:val="none"/>
          <w:lang w:val="en-US" w:eastAsia="zh-CN" w:bidi="ar"/>
        </w:rPr>
        <w:t>）负责全县审计工作。负责对县级财政收支和法律法规规定属于审计监督范围的财务收支的真实、合法和效益进行审计监督，对公共资金、国有资产、国有资源和领导干部履行经济责任情况实行审计全覆盖，对有关重大政策措施和宏观调控部署贯彻落实情况进行跟踪审计。对审计、专项审计调查和核查社会审计机构相关审计报告的结果承担责任，并负有督促被审计单位整改的责任。</w:t>
      </w:r>
    </w:p>
    <w:p w14:paraId="67D892D5">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2</w:t>
      </w:r>
      <w:r>
        <w:rPr>
          <w:rFonts w:hint="default" w:ascii="仿宋_GB2312" w:hAnsi="仿宋_GB2312" w:cs="仿宋_GB2312"/>
          <w:bCs/>
          <w:color w:val="auto"/>
          <w:sz w:val="32"/>
          <w:szCs w:val="32"/>
          <w:highlight w:val="none"/>
          <w:lang w:val="en-US" w:eastAsia="zh-CN" w:bidi="ar"/>
        </w:rPr>
        <w:t>）拟订本县审计政策，制定审计指南并监督执行。制订并组织实施全县审计工作发展规划、专业领域审计工作规划，拟订全县审计项目计划。对直接审计、调查和核查的事项依法进行审计评价，作出审计决定或提出审计建议。</w:t>
      </w:r>
    </w:p>
    <w:p w14:paraId="4D9A3774">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3</w:t>
      </w:r>
      <w:r>
        <w:rPr>
          <w:rFonts w:hint="default" w:ascii="仿宋_GB2312" w:hAnsi="仿宋_GB2312" w:cs="仿宋_GB2312"/>
          <w:bCs/>
          <w:color w:val="auto"/>
          <w:sz w:val="32"/>
          <w:szCs w:val="32"/>
          <w:highlight w:val="none"/>
          <w:lang w:val="en-US" w:eastAsia="zh-CN" w:bidi="ar"/>
        </w:rPr>
        <w:t>）向县委审计委员会提出年度县级预算执行和其他财政收支情况审计报告。向县政府和市审计局提出年度县级预算执行和其他财政收支情况的审计结果报告。受县政府委托向县人大常委会提出县级预算执行和其他财政收支情况的审计工作报告、审计查出问题整改情况报告。向县委、县政府和市审计局报告对其他事项的审计和专项审计调查情况及结果。依法向社会公布审计结果。向县委、县政府有关部门和镇党委、政府通报审计情况和审计结果。</w:t>
      </w:r>
    </w:p>
    <w:p w14:paraId="7FFCFEDB">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4</w:t>
      </w:r>
      <w:r>
        <w:rPr>
          <w:rFonts w:hint="default" w:ascii="仿宋_GB2312" w:hAnsi="仿宋_GB2312" w:cs="仿宋_GB2312"/>
          <w:bCs/>
          <w:color w:val="auto"/>
          <w:sz w:val="32"/>
          <w:szCs w:val="32"/>
          <w:highlight w:val="none"/>
          <w:lang w:val="en-US" w:eastAsia="zh-CN" w:bidi="ar"/>
        </w:rPr>
        <w:t>）直接审计下列事项，出具审计报告，在法定职权范围内作出审计决定：有关重大政策措施和宏观调控部署贯彻落实情况；县级预算执行情况、决算草案和其他财政收支，县级各部门（含直属单位）预算执行情况、决算草案和其他财政收支；镇人民政府预算执行情况、决算草案和其他财政收支，县财政转移支付资金；县属事业单位和社会团体的财务收支；县政府投资和以县政府投资为主的建设项目的预算执行情况和决算，县重大公共工程项目的资金管理使用和建设运营情况；自然资源管理、污染防治和生态保护与修复情况；县属国有企业和金融机构、县政府规定的县属国有资本占控股或主导地位的企业和金融机构境内外资产、负债和损益，县驻外非经营性机构的财务收支；有关社会保障基金、社会捐赠资金和其他基金、资金的财务收支；国际组织和外国政府援助、贷款项目；以及法律法规规定的其他事项。</w:t>
      </w:r>
    </w:p>
    <w:p w14:paraId="74754B7F">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5</w:t>
      </w:r>
      <w:r>
        <w:rPr>
          <w:rFonts w:hint="default" w:ascii="仿宋_GB2312" w:hAnsi="仿宋_GB2312" w:cs="仿宋_GB2312"/>
          <w:bCs/>
          <w:color w:val="auto"/>
          <w:sz w:val="32"/>
          <w:szCs w:val="32"/>
          <w:highlight w:val="none"/>
          <w:lang w:val="en-US" w:eastAsia="zh-CN" w:bidi="ar"/>
        </w:rPr>
        <w:t>）按规定对县管党政主要领导干部及其他单位主要负责人实施经济责任审计。</w:t>
      </w:r>
    </w:p>
    <w:p w14:paraId="4DC8E316">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6</w:t>
      </w:r>
      <w:r>
        <w:rPr>
          <w:rFonts w:hint="default" w:ascii="仿宋_GB2312" w:hAnsi="仿宋_GB2312" w:cs="仿宋_GB2312"/>
          <w:bCs/>
          <w:color w:val="auto"/>
          <w:sz w:val="32"/>
          <w:szCs w:val="32"/>
          <w:highlight w:val="none"/>
          <w:lang w:val="en-US" w:eastAsia="zh-CN" w:bidi="ar"/>
        </w:rPr>
        <w:t>）组织实施对财经法律、法规、规章、政策和宏观调控措施执行情况、财政预算管理及国有资产管理使用等与县级财政收支有关的特定事项进行专项审计调查。</w:t>
      </w:r>
    </w:p>
    <w:p w14:paraId="00C32097">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7</w:t>
      </w:r>
      <w:r>
        <w:rPr>
          <w:rFonts w:hint="default" w:ascii="仿宋_GB2312" w:hAnsi="仿宋_GB2312" w:cs="仿宋_GB2312"/>
          <w:bCs/>
          <w:color w:val="auto"/>
          <w:sz w:val="32"/>
          <w:szCs w:val="32"/>
          <w:highlight w:val="none"/>
          <w:lang w:val="en-US" w:eastAsia="zh-CN" w:bidi="ar"/>
        </w:rPr>
        <w:t>）依法检查审计决定执行情况，督促整改审计查出的问题，依法办理被审计单位对审计决定</w:t>
      </w:r>
      <w:r>
        <w:rPr>
          <w:rFonts w:hint="eastAsia" w:ascii="仿宋_GB2312" w:hAnsi="仿宋_GB2312" w:cs="仿宋_GB2312"/>
          <w:bCs/>
          <w:color w:val="auto"/>
          <w:sz w:val="32"/>
          <w:szCs w:val="32"/>
          <w:highlight w:val="none"/>
          <w:lang w:val="en-US" w:eastAsia="zh-CN" w:bidi="ar"/>
        </w:rPr>
        <w:t>提起</w:t>
      </w:r>
      <w:r>
        <w:rPr>
          <w:rFonts w:hint="default" w:ascii="仿宋_GB2312" w:hAnsi="仿宋_GB2312" w:cs="仿宋_GB2312"/>
          <w:bCs/>
          <w:color w:val="auto"/>
          <w:sz w:val="32"/>
          <w:szCs w:val="32"/>
          <w:highlight w:val="none"/>
          <w:lang w:val="en-US" w:eastAsia="zh-CN" w:bidi="ar"/>
        </w:rPr>
        <w:t>行政诉讼或县政府裁决中的有关事项，协助配合有关部门查处相关重大案件。</w:t>
      </w:r>
    </w:p>
    <w:p w14:paraId="0347F7DE">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8</w:t>
      </w:r>
      <w:r>
        <w:rPr>
          <w:rFonts w:hint="default" w:ascii="仿宋_GB2312" w:hAnsi="仿宋_GB2312" w:cs="仿宋_GB2312"/>
          <w:bCs/>
          <w:color w:val="auto"/>
          <w:sz w:val="32"/>
          <w:szCs w:val="32"/>
          <w:highlight w:val="none"/>
          <w:lang w:val="en-US" w:eastAsia="zh-CN" w:bidi="ar"/>
        </w:rPr>
        <w:t>）指导、监督全县内部审计和农村集体经济审计工作，核查社会审计机构对依法属于县审计局监督对象的单位出具的相关审计报告。</w:t>
      </w:r>
    </w:p>
    <w:p w14:paraId="028E8F24">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9</w:t>
      </w:r>
      <w:r>
        <w:rPr>
          <w:rFonts w:hint="default" w:ascii="仿宋_GB2312" w:hAnsi="仿宋_GB2312" w:cs="仿宋_GB2312"/>
          <w:bCs/>
          <w:color w:val="auto"/>
          <w:sz w:val="32"/>
          <w:szCs w:val="32"/>
          <w:highlight w:val="none"/>
          <w:lang w:val="en-US" w:eastAsia="zh-CN" w:bidi="ar"/>
        </w:rPr>
        <w:t>）组织开展审计领域的对外交流与合作，指导和推广信息技术在审计领域的应用。</w:t>
      </w:r>
    </w:p>
    <w:p w14:paraId="20B8184B">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10</w:t>
      </w:r>
      <w:r>
        <w:rPr>
          <w:rFonts w:hint="default" w:ascii="仿宋_GB2312" w:hAnsi="仿宋_GB2312" w:cs="仿宋_GB2312"/>
          <w:bCs/>
          <w:color w:val="auto"/>
          <w:sz w:val="32"/>
          <w:szCs w:val="32"/>
          <w:highlight w:val="none"/>
          <w:lang w:val="en-US" w:eastAsia="zh-CN" w:bidi="ar"/>
        </w:rPr>
        <w:t>）完成县委、县政府和上级审计部门交办的其他任务。</w:t>
      </w:r>
    </w:p>
    <w:p w14:paraId="0867839F">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11</w:t>
      </w:r>
      <w:r>
        <w:rPr>
          <w:rFonts w:hint="default" w:ascii="仿宋_GB2312" w:hAnsi="仿宋_GB2312" w:cs="仿宋_GB2312"/>
          <w:bCs/>
          <w:color w:val="auto"/>
          <w:sz w:val="32"/>
          <w:szCs w:val="32"/>
          <w:highlight w:val="none"/>
          <w:lang w:val="en-US" w:eastAsia="zh-CN" w:bidi="ar"/>
        </w:rPr>
        <w:t>）职能转变。进一步完善审计管理体制，加强全县审计工作统筹，明晰审计机关职能定位，理顺内部职责关系，优化审计资源配置，充实加强一线审计力量，构建集中统一、全面覆盖、权威高效的审计监督体系；优化审计工作机制，坚持科技强审，完善业务流程，改进工作方式，加强与相关部门的沟通协调，充分调动内部审计和社会审计力量，增强监督合力。</w:t>
      </w:r>
    </w:p>
    <w:p w14:paraId="3E773405">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
          <w:bCs w:val="0"/>
          <w:color w:val="auto"/>
          <w:sz w:val="32"/>
          <w:szCs w:val="32"/>
          <w:highlight w:val="none"/>
          <w:lang w:val="en-US" w:eastAsia="zh-CN" w:bidi="ar"/>
        </w:rPr>
      </w:pPr>
      <w:r>
        <w:rPr>
          <w:rFonts w:hint="default" w:ascii="Times New Roman" w:hAnsi="Times New Roman" w:cs="Times New Roman"/>
          <w:b/>
          <w:bCs w:val="0"/>
          <w:color w:val="auto"/>
          <w:sz w:val="32"/>
          <w:szCs w:val="32"/>
          <w:highlight w:val="none"/>
          <w:lang w:val="en-US" w:eastAsia="zh-CN" w:bidi="ar"/>
        </w:rPr>
        <w:t>2</w:t>
      </w:r>
      <w:r>
        <w:rPr>
          <w:rFonts w:hint="eastAsia" w:ascii="仿宋_GB2312" w:hAnsi="仿宋_GB2312" w:cs="仿宋_GB2312"/>
          <w:b/>
          <w:bCs w:val="0"/>
          <w:color w:val="auto"/>
          <w:sz w:val="32"/>
          <w:szCs w:val="32"/>
          <w:highlight w:val="none"/>
          <w:lang w:val="en-US" w:eastAsia="zh-CN" w:bidi="ar"/>
        </w:rPr>
        <w:t>.</w:t>
      </w:r>
      <w:r>
        <w:rPr>
          <w:rFonts w:hint="default" w:ascii="仿宋_GB2312" w:hAnsi="仿宋_GB2312" w:cs="仿宋_GB2312"/>
          <w:b/>
          <w:bCs w:val="0"/>
          <w:color w:val="auto"/>
          <w:sz w:val="32"/>
          <w:szCs w:val="32"/>
          <w:highlight w:val="none"/>
          <w:lang w:val="en-US" w:eastAsia="zh-CN" w:bidi="ar"/>
        </w:rPr>
        <w:t>内设机构</w:t>
      </w:r>
      <w:r>
        <w:rPr>
          <w:rFonts w:hint="eastAsia" w:ascii="仿宋_GB2312" w:hAnsi="仿宋_GB2312" w:cs="仿宋_GB2312"/>
          <w:b/>
          <w:bCs w:val="0"/>
          <w:color w:val="auto"/>
          <w:sz w:val="32"/>
          <w:szCs w:val="32"/>
          <w:highlight w:val="none"/>
          <w:lang w:val="en-US" w:eastAsia="zh-CN" w:bidi="ar"/>
        </w:rPr>
        <w:t>构成</w:t>
      </w:r>
    </w:p>
    <w:p w14:paraId="4C9B5767">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1</w:t>
      </w:r>
      <w:r>
        <w:rPr>
          <w:rFonts w:hint="default" w:ascii="仿宋_GB2312" w:hAnsi="仿宋_GB2312" w:cs="仿宋_GB2312"/>
          <w:bCs/>
          <w:color w:val="auto"/>
          <w:sz w:val="32"/>
          <w:szCs w:val="32"/>
          <w:highlight w:val="none"/>
          <w:lang w:val="en-US" w:eastAsia="zh-CN" w:bidi="ar"/>
        </w:rPr>
        <w:t>）办公室。负责文电、会务、机要、档案、督办等机关日常运转工作。承担信息、安全保密、信访、政务公开工作。承担重要文稿的起草和审核有关工作，对审计成果进行整理研究和综合利用。承担机关和下属事业单位的干部人事、机构编制、劳动工资、教育培训、离退休人员服务和审计人员职业化建设等工作。负责机关和下属事业单位的党群工作。负责局机关财务和后勤保障管理工作。负责审计统计工作。负责拟订县年度审计项目计划。</w:t>
      </w:r>
    </w:p>
    <w:p w14:paraId="133FFC64">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2</w:t>
      </w:r>
      <w:r>
        <w:rPr>
          <w:rFonts w:hint="default" w:ascii="仿宋_GB2312" w:hAnsi="仿宋_GB2312" w:cs="仿宋_GB2312"/>
          <w:bCs/>
          <w:color w:val="auto"/>
          <w:sz w:val="32"/>
          <w:szCs w:val="32"/>
          <w:highlight w:val="none"/>
          <w:lang w:val="en-US" w:eastAsia="zh-CN" w:bidi="ar"/>
        </w:rPr>
        <w:t>）法规审理股。审理审计业务事项。负责对重大违纪违法问题线索的移送协调。承担有关规范性文件的合法性审查工作。承担行政应诉工作。</w:t>
      </w:r>
    </w:p>
    <w:p w14:paraId="24B7EFA0">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3</w:t>
      </w:r>
      <w:r>
        <w:rPr>
          <w:rFonts w:hint="default" w:ascii="仿宋_GB2312" w:hAnsi="仿宋_GB2312" w:cs="仿宋_GB2312"/>
          <w:bCs/>
          <w:color w:val="auto"/>
          <w:sz w:val="32"/>
          <w:szCs w:val="32"/>
          <w:highlight w:val="none"/>
          <w:lang w:val="en-US" w:eastAsia="zh-CN" w:bidi="ar"/>
        </w:rPr>
        <w:t>）整改监督股。督促整改审计查出的问题。牵头起草各类审计查出问题的整改情况报告。</w:t>
      </w:r>
    </w:p>
    <w:p w14:paraId="6D24753D">
      <w:pPr>
        <w:keepNext w:val="0"/>
        <w:keepLines w:val="0"/>
        <w:pageBreakBefore w:val="0"/>
        <w:widowControl w:val="0"/>
        <w:numPr>
          <w:ilvl w:val="0"/>
          <w:numId w:val="0"/>
        </w:numPr>
        <w:kinsoku/>
        <w:wordWrap/>
        <w:overflowPunct/>
        <w:topLinePunct w:val="0"/>
        <w:autoSpaceDE/>
        <w:bidi w:val="0"/>
        <w:spacing w:line="540" w:lineRule="exact"/>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 xml:space="preserve">    （</w:t>
      </w:r>
      <w:r>
        <w:rPr>
          <w:rFonts w:hint="default" w:ascii="Times New Roman" w:hAnsi="Times New Roman" w:cs="Times New Roman"/>
          <w:bCs/>
          <w:color w:val="auto"/>
          <w:sz w:val="32"/>
          <w:szCs w:val="32"/>
          <w:highlight w:val="none"/>
          <w:lang w:val="en-US" w:eastAsia="zh-CN" w:bidi="ar"/>
        </w:rPr>
        <w:t>4</w:t>
      </w:r>
      <w:r>
        <w:rPr>
          <w:rFonts w:hint="default" w:ascii="仿宋_GB2312" w:hAnsi="仿宋_GB2312" w:cs="仿宋_GB2312"/>
          <w:bCs/>
          <w:color w:val="auto"/>
          <w:sz w:val="32"/>
          <w:szCs w:val="32"/>
          <w:highlight w:val="none"/>
          <w:lang w:val="en-US" w:eastAsia="zh-CN" w:bidi="ar"/>
        </w:rPr>
        <w:t>）经济责任审计股。组织对县管党政主要领导干部、县属国有企业、县属事业单位主要领导人员的经济责任审计。承担县经济责任审计工作联席会议有关工作。组织审计县属国有企业和县政府规定的县属国有资本占控股或主导地位的企业的资产、负债、损益及其国有资产投资、运营和管理情况。</w:t>
      </w:r>
    </w:p>
    <w:p w14:paraId="6F42A12A">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5</w:t>
      </w:r>
      <w:r>
        <w:rPr>
          <w:rFonts w:hint="default" w:ascii="仿宋_GB2312" w:hAnsi="仿宋_GB2312" w:cs="仿宋_GB2312"/>
          <w:bCs/>
          <w:color w:val="auto"/>
          <w:sz w:val="32"/>
          <w:szCs w:val="32"/>
          <w:highlight w:val="none"/>
          <w:lang w:val="en-US" w:eastAsia="zh-CN" w:bidi="ar"/>
        </w:rPr>
        <w:t>）财政金融债务和电子数据审计股。组织审计县级预算执行情况和其他财政收支，镇人民政府预算执行情况、决算草案及其他财政收支和县财政转移支付资金。组织审计县属国有金融机构和县政府规定的县属国有资本占控股或主导地位金融机构的资产、负债、损益及其境外国有资产投资、运营和管理情况。组织审计全县政府债务、隐性债务和其他相关债务。组织审计有关重大政策措施和宏观调控部署贯彻落实情况。组织开展审计业务电子数据的采集、验收、整理和综合分析利用，组织对有关部门和国有企事业单位网络安全、电子政务工程和信息化项目以及信息系统的审计。</w:t>
      </w:r>
    </w:p>
    <w:p w14:paraId="2DFD4869">
      <w:pPr>
        <w:keepNext w:val="0"/>
        <w:keepLines w:val="0"/>
        <w:pageBreakBefore w:val="0"/>
        <w:widowControl w:val="0"/>
        <w:numPr>
          <w:ilvl w:val="0"/>
          <w:numId w:val="0"/>
        </w:numPr>
        <w:kinsoku/>
        <w:wordWrap/>
        <w:overflowPunct/>
        <w:topLinePunct w:val="0"/>
        <w:autoSpaceDE/>
        <w:bidi w:val="0"/>
        <w:spacing w:line="540" w:lineRule="exact"/>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 xml:space="preserve">   （</w:t>
      </w:r>
      <w:r>
        <w:rPr>
          <w:rFonts w:hint="default" w:ascii="Times New Roman" w:hAnsi="Times New Roman" w:cs="Times New Roman"/>
          <w:bCs/>
          <w:color w:val="auto"/>
          <w:sz w:val="32"/>
          <w:szCs w:val="32"/>
          <w:highlight w:val="none"/>
          <w:lang w:val="en-US" w:eastAsia="zh-CN" w:bidi="ar"/>
        </w:rPr>
        <w:t>6</w:t>
      </w:r>
      <w:r>
        <w:rPr>
          <w:rFonts w:hint="default" w:ascii="仿宋_GB2312" w:hAnsi="仿宋_GB2312" w:cs="仿宋_GB2312"/>
          <w:bCs/>
          <w:color w:val="auto"/>
          <w:sz w:val="32"/>
          <w:szCs w:val="32"/>
          <w:highlight w:val="none"/>
          <w:lang w:val="en-US" w:eastAsia="zh-CN" w:bidi="ar"/>
        </w:rPr>
        <w:t>）行政事业审计股。组织审计县直财政预算拨款单位及下属单位的预算执行情况、决算草案和其他财政财务收支。组织审计县属事业单位、社会团体及其直属机构、办事机构的财务收支。组织审计县政府相关部门、镇人民政府管理和其他单位受县政府及其部门委托管理的社会保障基金、社会捐赠资金以及其他有关基金、资金的财务收支。组织审计县直行政、事业单位及下属单位、镇人民政府管理的专项资金。组织开展自然资源管理、污染防治和生态保护与修复情况审计。负责县直部门和企事业单位内部审计机构业务指导、监督等相关工作。 指导和监督全县农村集体经济审计工作。</w:t>
      </w:r>
    </w:p>
    <w:p w14:paraId="4F07E704">
      <w:pPr>
        <w:keepNext w:val="0"/>
        <w:keepLines w:val="0"/>
        <w:pageBreakBefore w:val="0"/>
        <w:widowControl w:val="0"/>
        <w:numPr>
          <w:ilvl w:val="0"/>
          <w:numId w:val="0"/>
        </w:numPr>
        <w:kinsoku/>
        <w:wordWrap/>
        <w:overflowPunct/>
        <w:topLinePunct w:val="0"/>
        <w:autoSpaceDE/>
        <w:bidi w:val="0"/>
        <w:spacing w:line="540" w:lineRule="exact"/>
        <w:textAlignment w:val="auto"/>
        <w:rPr>
          <w:rFonts w:hint="default" w:ascii="仿宋_GB2312" w:hAnsi="仿宋_GB2312" w:cs="仿宋_GB2312"/>
          <w:bCs/>
          <w:color w:val="auto"/>
          <w:sz w:val="32"/>
          <w:szCs w:val="32"/>
          <w:highlight w:val="none"/>
          <w:lang w:val="en-US" w:eastAsia="zh-CN" w:bidi="ar"/>
        </w:rPr>
      </w:pPr>
      <w:r>
        <w:rPr>
          <w:rFonts w:hint="default" w:ascii="仿宋_GB2312" w:hAnsi="仿宋_GB2312" w:cs="仿宋_GB2312"/>
          <w:bCs/>
          <w:color w:val="auto"/>
          <w:sz w:val="32"/>
          <w:szCs w:val="32"/>
          <w:highlight w:val="none"/>
          <w:lang w:val="en-US" w:eastAsia="zh-CN" w:bidi="ar"/>
        </w:rPr>
        <w:t xml:space="preserve">   （</w:t>
      </w:r>
      <w:r>
        <w:rPr>
          <w:rFonts w:hint="default" w:ascii="Times New Roman" w:hAnsi="Times New Roman" w:cs="Times New Roman"/>
          <w:bCs/>
          <w:color w:val="auto"/>
          <w:sz w:val="32"/>
          <w:szCs w:val="32"/>
          <w:highlight w:val="none"/>
          <w:lang w:val="en-US" w:eastAsia="zh-CN" w:bidi="ar"/>
        </w:rPr>
        <w:t>7</w:t>
      </w:r>
      <w:r>
        <w:rPr>
          <w:rFonts w:hint="default" w:ascii="仿宋_GB2312" w:hAnsi="仿宋_GB2312" w:cs="仿宋_GB2312"/>
          <w:bCs/>
          <w:color w:val="auto"/>
          <w:sz w:val="32"/>
          <w:szCs w:val="32"/>
          <w:highlight w:val="none"/>
          <w:lang w:val="en-US" w:eastAsia="zh-CN" w:bidi="ar"/>
        </w:rPr>
        <w:t>）固定资产投资审计股。组织审计县政府投资和以县政府投资为主的经营性、非经营性建设项目以及其他关系到国家利益和公共利益的县属重大公共工程项目。</w:t>
      </w:r>
    </w:p>
    <w:p w14:paraId="1ABA94C2">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default" w:ascii="仿宋_GB2312" w:hAnsi="仿宋_GB2312" w:cs="仿宋_GB2312"/>
          <w:b/>
          <w:bCs w:val="0"/>
          <w:color w:val="auto"/>
          <w:sz w:val="32"/>
          <w:szCs w:val="32"/>
          <w:highlight w:val="none"/>
          <w:lang w:val="en-US" w:eastAsia="zh-CN" w:bidi="ar"/>
        </w:rPr>
      </w:pPr>
      <w:r>
        <w:rPr>
          <w:rFonts w:hint="default" w:ascii="Times New Roman" w:hAnsi="Times New Roman" w:cs="Times New Roman"/>
          <w:b/>
          <w:bCs w:val="0"/>
          <w:color w:val="auto"/>
          <w:sz w:val="32"/>
          <w:szCs w:val="32"/>
          <w:highlight w:val="none"/>
          <w:lang w:val="en-US" w:eastAsia="zh-CN" w:bidi="ar"/>
        </w:rPr>
        <w:t>3</w:t>
      </w:r>
      <w:r>
        <w:rPr>
          <w:rFonts w:hint="eastAsia" w:ascii="仿宋_GB2312" w:hAnsi="仿宋_GB2312" w:cs="仿宋_GB2312"/>
          <w:b/>
          <w:bCs w:val="0"/>
          <w:color w:val="auto"/>
          <w:sz w:val="32"/>
          <w:szCs w:val="32"/>
          <w:highlight w:val="none"/>
          <w:lang w:val="en-US" w:eastAsia="zh-CN" w:bidi="ar"/>
        </w:rPr>
        <w:t>.人员编制构成</w:t>
      </w:r>
    </w:p>
    <w:p w14:paraId="33724112">
      <w:pPr>
        <w:keepNext w:val="0"/>
        <w:keepLines w:val="0"/>
        <w:pageBreakBefore w:val="0"/>
        <w:widowControl w:val="0"/>
        <w:numPr>
          <w:ilvl w:val="0"/>
          <w:numId w:val="0"/>
        </w:numPr>
        <w:kinsoku/>
        <w:wordWrap/>
        <w:overflowPunct/>
        <w:topLinePunct w:val="0"/>
        <w:autoSpaceDE/>
        <w:bidi w:val="0"/>
        <w:spacing w:line="540" w:lineRule="exact"/>
        <w:ind w:firstLine="616" w:firstLineChars="200"/>
        <w:textAlignment w:val="auto"/>
        <w:rPr>
          <w:rFonts w:hint="eastAsia"/>
          <w:b/>
          <w:color w:val="auto"/>
          <w:sz w:val="32"/>
          <w:szCs w:val="32"/>
          <w:highlight w:val="none"/>
        </w:rPr>
      </w:pPr>
      <w:r>
        <w:rPr>
          <w:rFonts w:hint="eastAsia" w:ascii="仿宋_GB2312" w:hAnsi="仿宋_GB2312" w:cs="仿宋_GB2312"/>
          <w:bCs/>
          <w:color w:val="auto"/>
          <w:sz w:val="32"/>
          <w:szCs w:val="32"/>
          <w:highlight w:val="none"/>
          <w:lang w:val="en-US" w:eastAsia="zh-CN" w:bidi="ar"/>
        </w:rPr>
        <w:t>县审计局机关行政编制</w:t>
      </w:r>
      <w:r>
        <w:rPr>
          <w:rFonts w:hint="default" w:ascii="Times New Roman" w:hAnsi="Times New Roman" w:cs="Times New Roman"/>
          <w:bCs/>
          <w:color w:val="auto"/>
          <w:sz w:val="32"/>
          <w:szCs w:val="32"/>
          <w:highlight w:val="none"/>
          <w:lang w:val="en-US" w:eastAsia="zh-CN" w:bidi="ar"/>
        </w:rPr>
        <w:t>15</w:t>
      </w:r>
      <w:r>
        <w:rPr>
          <w:rFonts w:hint="eastAsia" w:ascii="仿宋_GB2312" w:hAnsi="仿宋_GB2312" w:cs="仿宋_GB2312"/>
          <w:bCs/>
          <w:color w:val="auto"/>
          <w:sz w:val="32"/>
          <w:szCs w:val="32"/>
          <w:highlight w:val="none"/>
          <w:lang w:val="en-US" w:eastAsia="zh-CN" w:bidi="ar"/>
        </w:rPr>
        <w:t>名。设局长</w:t>
      </w:r>
      <w:r>
        <w:rPr>
          <w:rFonts w:hint="default" w:ascii="Times New Roman" w:hAnsi="Times New Roman" w:cs="Times New Roman"/>
          <w:bCs/>
          <w:color w:val="auto"/>
          <w:sz w:val="32"/>
          <w:szCs w:val="32"/>
          <w:highlight w:val="none"/>
          <w:lang w:val="en-US" w:eastAsia="zh-CN" w:bidi="ar"/>
        </w:rPr>
        <w:t>1</w:t>
      </w:r>
      <w:r>
        <w:rPr>
          <w:rFonts w:hint="eastAsia" w:ascii="仿宋_GB2312" w:hAnsi="仿宋_GB2312" w:cs="仿宋_GB2312"/>
          <w:bCs/>
          <w:color w:val="auto"/>
          <w:sz w:val="32"/>
          <w:szCs w:val="32"/>
          <w:highlight w:val="none"/>
          <w:lang w:val="en-US" w:eastAsia="zh-CN" w:bidi="ar"/>
        </w:rPr>
        <w:t>名，副局长</w:t>
      </w:r>
      <w:r>
        <w:rPr>
          <w:rFonts w:hint="default" w:ascii="Times New Roman" w:hAnsi="Times New Roman" w:cs="Times New Roman"/>
          <w:bCs/>
          <w:color w:val="auto"/>
          <w:sz w:val="32"/>
          <w:szCs w:val="32"/>
          <w:highlight w:val="none"/>
          <w:lang w:val="en-US" w:eastAsia="zh-CN" w:bidi="ar"/>
        </w:rPr>
        <w:t>3</w:t>
      </w:r>
      <w:r>
        <w:rPr>
          <w:rFonts w:hint="eastAsia" w:ascii="仿宋_GB2312" w:hAnsi="仿宋_GB2312" w:cs="仿宋_GB2312"/>
          <w:bCs/>
          <w:color w:val="auto"/>
          <w:sz w:val="32"/>
          <w:szCs w:val="32"/>
          <w:highlight w:val="none"/>
          <w:lang w:val="en-US" w:eastAsia="zh-CN" w:bidi="ar"/>
        </w:rPr>
        <w:t>名，总审计师</w:t>
      </w:r>
      <w:r>
        <w:rPr>
          <w:rFonts w:hint="default" w:ascii="Times New Roman" w:hAnsi="Times New Roman" w:cs="Times New Roman"/>
          <w:bCs/>
          <w:color w:val="auto"/>
          <w:sz w:val="32"/>
          <w:szCs w:val="32"/>
          <w:highlight w:val="none"/>
          <w:lang w:val="en-US" w:eastAsia="zh-CN" w:bidi="ar"/>
        </w:rPr>
        <w:t>1</w:t>
      </w:r>
      <w:r>
        <w:rPr>
          <w:rFonts w:hint="eastAsia" w:ascii="仿宋_GB2312" w:hAnsi="仿宋_GB2312" w:cs="仿宋_GB2312"/>
          <w:bCs/>
          <w:color w:val="auto"/>
          <w:sz w:val="32"/>
          <w:szCs w:val="32"/>
          <w:highlight w:val="none"/>
          <w:lang w:val="en-US" w:eastAsia="zh-CN" w:bidi="ar"/>
        </w:rPr>
        <w:t>名，县经济责任审计工作联席会议办公室主任</w:t>
      </w:r>
      <w:r>
        <w:rPr>
          <w:rFonts w:hint="default" w:ascii="Times New Roman" w:hAnsi="Times New Roman" w:cs="Times New Roman"/>
          <w:bCs/>
          <w:color w:val="auto"/>
          <w:sz w:val="32"/>
          <w:szCs w:val="32"/>
          <w:highlight w:val="none"/>
          <w:lang w:val="en-US" w:eastAsia="zh-CN" w:bidi="ar"/>
        </w:rPr>
        <w:t>1</w:t>
      </w:r>
      <w:r>
        <w:rPr>
          <w:rFonts w:hint="eastAsia" w:ascii="仿宋_GB2312" w:hAnsi="仿宋_GB2312" w:cs="仿宋_GB2312"/>
          <w:bCs/>
          <w:color w:val="auto"/>
          <w:sz w:val="32"/>
          <w:szCs w:val="32"/>
          <w:highlight w:val="none"/>
          <w:lang w:val="en-US" w:eastAsia="zh-CN" w:bidi="ar"/>
        </w:rPr>
        <w:t>名（副科级）；正（副）股级领导职数</w:t>
      </w:r>
      <w:r>
        <w:rPr>
          <w:rFonts w:hint="default" w:ascii="Times New Roman" w:hAnsi="Times New Roman" w:cs="Times New Roman"/>
          <w:bCs/>
          <w:color w:val="auto"/>
          <w:sz w:val="32"/>
          <w:szCs w:val="32"/>
          <w:highlight w:val="none"/>
          <w:lang w:val="en-US" w:eastAsia="zh-CN" w:bidi="ar"/>
        </w:rPr>
        <w:t>8</w:t>
      </w:r>
      <w:r>
        <w:rPr>
          <w:rFonts w:hint="eastAsia" w:ascii="仿宋_GB2312" w:hAnsi="仿宋_GB2312" w:cs="仿宋_GB2312"/>
          <w:bCs/>
          <w:color w:val="auto"/>
          <w:sz w:val="32"/>
          <w:szCs w:val="32"/>
          <w:highlight w:val="none"/>
          <w:lang w:val="en-US" w:eastAsia="zh-CN" w:bidi="ar"/>
        </w:rPr>
        <w:t>名(含县委审计委员会办公室秘书股职数</w:t>
      </w:r>
      <w:r>
        <w:rPr>
          <w:rFonts w:hint="default" w:ascii="Times New Roman" w:hAnsi="Times New Roman" w:cs="Times New Roman"/>
          <w:bCs/>
          <w:color w:val="auto"/>
          <w:sz w:val="32"/>
          <w:szCs w:val="32"/>
          <w:highlight w:val="none"/>
          <w:lang w:val="en-US" w:eastAsia="zh-CN" w:bidi="ar"/>
        </w:rPr>
        <w:t>1</w:t>
      </w:r>
      <w:r>
        <w:rPr>
          <w:rFonts w:hint="eastAsia" w:ascii="仿宋_GB2312" w:hAnsi="仿宋_GB2312" w:cs="仿宋_GB2312"/>
          <w:bCs/>
          <w:color w:val="auto"/>
          <w:sz w:val="32"/>
          <w:szCs w:val="32"/>
          <w:highlight w:val="none"/>
          <w:lang w:val="en-US" w:eastAsia="zh-CN" w:bidi="ar"/>
        </w:rPr>
        <w:t>名)。</w:t>
      </w:r>
    </w:p>
    <w:p w14:paraId="6317A0C3">
      <w:pPr>
        <w:ind w:firstLine="616" w:firstLineChars="200"/>
        <w:rPr>
          <w:rFonts w:hint="eastAsia" w:ascii="楷体" w:hAnsi="楷体" w:eastAsia="楷体" w:cs="楷体"/>
          <w:b/>
          <w:color w:val="auto"/>
          <w:highlight w:val="none"/>
        </w:rPr>
      </w:pPr>
      <w:r>
        <w:rPr>
          <w:rFonts w:hint="eastAsia" w:ascii="楷体" w:hAnsi="楷体" w:eastAsia="楷体" w:cs="楷体"/>
          <w:b/>
          <w:color w:val="auto"/>
          <w:highlight w:val="none"/>
        </w:rPr>
        <w:t>（二）年度总体工作和重点工作任务</w:t>
      </w:r>
      <w:bookmarkEnd w:id="5"/>
      <w:bookmarkEnd w:id="6"/>
    </w:p>
    <w:p w14:paraId="4C065474">
      <w:pPr>
        <w:ind w:firstLine="616" w:firstLineChars="200"/>
        <w:rPr>
          <w:rFonts w:hint="eastAsia" w:ascii="仿宋_GB2312" w:hAnsi="仿宋_GB2312" w:cs="仿宋_GB2312"/>
          <w:bCs/>
          <w:color w:val="auto"/>
          <w:szCs w:val="32"/>
          <w:highlight w:val="none"/>
          <w:lang w:val="en-US" w:eastAsia="zh-CN" w:bidi="ar"/>
        </w:rPr>
      </w:pPr>
      <w:r>
        <w:rPr>
          <w:rFonts w:hint="default" w:ascii="Times New Roman" w:hAnsi="Times New Roman" w:cs="Times New Roman"/>
          <w:bCs/>
          <w:color w:val="auto"/>
          <w:szCs w:val="32"/>
          <w:highlight w:val="none"/>
          <w:lang w:val="en-US" w:eastAsia="zh-CN" w:bidi="ar"/>
        </w:rPr>
        <w:t>1</w:t>
      </w:r>
      <w:r>
        <w:rPr>
          <w:rFonts w:hint="eastAsia" w:ascii="仿宋_GB2312" w:hAnsi="仿宋_GB2312" w:cs="仿宋_GB2312"/>
          <w:bCs/>
          <w:color w:val="auto"/>
          <w:szCs w:val="32"/>
          <w:highlight w:val="none"/>
          <w:lang w:val="en-US" w:eastAsia="zh-CN" w:bidi="ar"/>
        </w:rPr>
        <w:t>.</w:t>
      </w:r>
      <w:r>
        <w:rPr>
          <w:rFonts w:hint="eastAsia" w:ascii="仿宋_GB2312" w:hAnsi="仿宋_GB2312" w:cs="仿宋_GB2312"/>
          <w:bCs/>
          <w:color w:val="auto"/>
          <w:szCs w:val="32"/>
          <w:highlight w:val="none"/>
          <w:lang w:bidi="ar"/>
        </w:rPr>
        <w:t>年度总体工作</w:t>
      </w:r>
      <w:r>
        <w:rPr>
          <w:rFonts w:hint="eastAsia" w:ascii="仿宋_GB2312" w:hAnsi="仿宋_GB2312" w:cs="仿宋_GB2312"/>
          <w:bCs/>
          <w:color w:val="auto"/>
          <w:szCs w:val="32"/>
          <w:highlight w:val="none"/>
          <w:lang w:val="en-US" w:eastAsia="zh-CN" w:bidi="ar"/>
        </w:rPr>
        <w:t xml:space="preserve">  </w:t>
      </w:r>
    </w:p>
    <w:p w14:paraId="31F382DD">
      <w:pPr>
        <w:keepNext w:val="0"/>
        <w:keepLines w:val="0"/>
        <w:pageBreakBefore w:val="0"/>
        <w:widowControl w:val="0"/>
        <w:kinsoku/>
        <w:wordWrap/>
        <w:overflowPunct/>
        <w:topLinePunct w:val="0"/>
        <w:autoSpaceDE/>
        <w:autoSpaceDN/>
        <w:bidi w:val="0"/>
        <w:adjustRightInd/>
        <w:snapToGrid/>
        <w:spacing w:line="594" w:lineRule="exact"/>
        <w:ind w:firstLine="616"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w:t>
      </w:r>
      <w:r>
        <w:rPr>
          <w:rFonts w:hint="default" w:ascii="Times New Roman" w:hAnsi="Times New Roman" w:eastAsia="仿宋_GB2312" w:cs="Times New Roman"/>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加强政治建设，在突出政治引领上有新提升</w:t>
      </w:r>
    </w:p>
    <w:p w14:paraId="47CBFC93">
      <w:pPr>
        <w:keepNext w:val="0"/>
        <w:keepLines w:val="0"/>
        <w:pageBreakBefore w:val="0"/>
        <w:widowControl w:val="0"/>
        <w:kinsoku/>
        <w:wordWrap/>
        <w:overflowPunct/>
        <w:topLinePunct w:val="0"/>
        <w:autoSpaceDE/>
        <w:autoSpaceDN/>
        <w:bidi w:val="0"/>
        <w:adjustRightInd/>
        <w:snapToGrid/>
        <w:spacing w:line="594" w:lineRule="exact"/>
        <w:ind w:firstLine="616"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①</w:t>
      </w:r>
      <w:r>
        <w:rPr>
          <w:rFonts w:hint="eastAsia" w:ascii="仿宋_GB2312" w:hAnsi="仿宋_GB2312" w:eastAsia="仿宋_GB2312" w:cs="仿宋_GB2312"/>
          <w:b w:val="0"/>
          <w:bCs w:val="0"/>
          <w:color w:val="auto"/>
          <w:sz w:val="32"/>
          <w:szCs w:val="32"/>
          <w:highlight w:val="none"/>
        </w:rPr>
        <w:t>始终坚持思想理论武装引领。</w:t>
      </w:r>
      <w:r>
        <w:rPr>
          <w:rFonts w:hint="eastAsia" w:ascii="仿宋_GB2312" w:hAnsi="仿宋_GB2312" w:eastAsia="仿宋_GB2312" w:cs="仿宋_GB2312"/>
          <w:color w:val="auto"/>
          <w:sz w:val="32"/>
          <w:szCs w:val="32"/>
          <w:highlight w:val="none"/>
        </w:rPr>
        <w:t>坚持</w:t>
      </w:r>
      <w:r>
        <w:rPr>
          <w:rFonts w:hint="eastAsia" w:ascii="仿宋_GB2312" w:hAnsi="仿宋_GB2312" w:eastAsia="仿宋_GB2312" w:cs="仿宋_GB2312"/>
          <w:color w:val="auto"/>
          <w:sz w:val="32"/>
          <w:szCs w:val="32"/>
          <w:highlight w:val="none"/>
          <w:lang w:val="en-US" w:eastAsia="zh-CN"/>
        </w:rPr>
        <w:t>把学习</w:t>
      </w:r>
      <w:r>
        <w:rPr>
          <w:rFonts w:hint="eastAsia" w:ascii="仿宋_GB2312" w:hAnsi="仿宋_GB2312" w:eastAsia="仿宋_GB2312" w:cs="仿宋_GB2312"/>
          <w:color w:val="auto"/>
          <w:sz w:val="32"/>
          <w:szCs w:val="32"/>
          <w:highlight w:val="none"/>
        </w:rPr>
        <w:t>习近平新时代中国特色社会主义思想</w:t>
      </w:r>
      <w:r>
        <w:rPr>
          <w:rFonts w:hint="eastAsia" w:ascii="仿宋_GB2312" w:hAnsi="仿宋_GB2312" w:eastAsia="仿宋_GB2312" w:cs="仿宋_GB2312"/>
          <w:color w:val="auto"/>
          <w:sz w:val="32"/>
          <w:szCs w:val="32"/>
          <w:highlight w:val="none"/>
          <w:lang w:val="en-US" w:eastAsia="zh-CN"/>
        </w:rPr>
        <w:t>作为首要政治任务</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严格执行“第一议题”制度，</w:t>
      </w:r>
      <w:r>
        <w:rPr>
          <w:rFonts w:hint="eastAsia" w:ascii="仿宋_GB2312" w:hAnsi="仿宋_GB2312" w:eastAsia="仿宋_GB2312" w:cs="仿宋_GB2312"/>
          <w:color w:val="auto"/>
          <w:sz w:val="32"/>
          <w:szCs w:val="32"/>
          <w:highlight w:val="none"/>
        </w:rPr>
        <w:t>认真学习贯彻落实党的二十大和二十届</w:t>
      </w:r>
      <w:r>
        <w:rPr>
          <w:rFonts w:hint="eastAsia" w:ascii="仿宋_GB2312" w:hAnsi="仿宋_GB2312" w:eastAsia="仿宋_GB2312" w:cs="仿宋_GB2312"/>
          <w:color w:val="auto"/>
          <w:sz w:val="32"/>
          <w:szCs w:val="32"/>
          <w:highlight w:val="none"/>
          <w:lang w:eastAsia="zh-CN"/>
        </w:rPr>
        <w:t>历次</w:t>
      </w:r>
      <w:r>
        <w:rPr>
          <w:rFonts w:hint="eastAsia" w:ascii="仿宋_GB2312" w:hAnsi="仿宋_GB2312" w:eastAsia="仿宋_GB2312" w:cs="仿宋_GB2312"/>
          <w:color w:val="auto"/>
          <w:sz w:val="32"/>
          <w:szCs w:val="32"/>
          <w:highlight w:val="none"/>
        </w:rPr>
        <w:t>全会精神，深入学习贯彻习近平总书记</w:t>
      </w:r>
      <w:r>
        <w:rPr>
          <w:rFonts w:hint="eastAsia" w:ascii="仿宋_GB2312" w:hAnsi="仿宋_GB2312" w:eastAsia="仿宋_GB2312" w:cs="仿宋_GB2312"/>
          <w:color w:val="auto"/>
          <w:sz w:val="32"/>
          <w:szCs w:val="32"/>
          <w:highlight w:val="none"/>
          <w:lang w:val="en-US" w:eastAsia="zh-CN"/>
        </w:rPr>
        <w:t>对</w:t>
      </w:r>
      <w:r>
        <w:rPr>
          <w:rFonts w:hint="eastAsia" w:ascii="仿宋_GB2312" w:hAnsi="仿宋_GB2312" w:eastAsia="仿宋_GB2312" w:cs="仿宋_GB2312"/>
          <w:color w:val="auto"/>
          <w:sz w:val="32"/>
          <w:szCs w:val="32"/>
          <w:highlight w:val="none"/>
          <w:lang w:eastAsia="zh-CN"/>
        </w:rPr>
        <w:t>广东</w:t>
      </w:r>
      <w:r>
        <w:rPr>
          <w:rFonts w:hint="eastAsia" w:ascii="仿宋_GB2312" w:hAnsi="仿宋_GB2312" w:eastAsia="仿宋_GB2312" w:cs="仿宋_GB2312"/>
          <w:color w:val="auto"/>
          <w:sz w:val="32"/>
          <w:szCs w:val="32"/>
          <w:highlight w:val="none"/>
          <w:lang w:val="en-US" w:eastAsia="zh-CN"/>
        </w:rPr>
        <w:t>工作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审计工作的重要</w:t>
      </w:r>
      <w:r>
        <w:rPr>
          <w:rFonts w:hint="eastAsia" w:ascii="仿宋_GB2312" w:hAnsi="仿宋_GB2312" w:eastAsia="仿宋_GB2312" w:cs="仿宋_GB2312"/>
          <w:color w:val="auto"/>
          <w:sz w:val="32"/>
          <w:szCs w:val="32"/>
          <w:highlight w:val="none"/>
          <w:lang w:val="en-US" w:eastAsia="zh-CN"/>
        </w:rPr>
        <w:t>讲话和重要指示</w:t>
      </w:r>
      <w:r>
        <w:rPr>
          <w:rFonts w:hint="eastAsia" w:ascii="仿宋_GB2312" w:hAnsi="仿宋_GB2312" w:eastAsia="仿宋_GB2312" w:cs="仿宋_GB2312"/>
          <w:color w:val="auto"/>
          <w:sz w:val="32"/>
          <w:szCs w:val="32"/>
          <w:highlight w:val="none"/>
        </w:rPr>
        <w:t>批示精神，</w:t>
      </w:r>
      <w:r>
        <w:rPr>
          <w:rFonts w:hint="eastAsia" w:ascii="仿宋_GB2312" w:hAnsi="仿宋_GB2312" w:cs="仿宋_GB2312"/>
          <w:color w:val="auto"/>
          <w:sz w:val="32"/>
          <w:szCs w:val="32"/>
          <w:highlight w:val="none"/>
          <w:lang w:val="en-US" w:eastAsia="zh-CN"/>
        </w:rPr>
        <w:t>全年</w:t>
      </w:r>
      <w:r>
        <w:rPr>
          <w:rFonts w:hint="eastAsia" w:ascii="仿宋_GB2312" w:hAnsi="仿宋_GB2312" w:eastAsia="仿宋_GB2312" w:cs="仿宋_GB2312"/>
          <w:color w:val="auto"/>
          <w:sz w:val="32"/>
          <w:szCs w:val="32"/>
          <w:highlight w:val="none"/>
        </w:rPr>
        <w:t>召开党组会议</w:t>
      </w:r>
      <w:r>
        <w:rPr>
          <w:rFonts w:hint="default" w:ascii="Times New Roman" w:hAnsi="Times New Roman" w:eastAsia="仿宋_GB2312" w:cs="Times New Roman"/>
          <w:color w:val="auto"/>
          <w:sz w:val="32"/>
          <w:szCs w:val="32"/>
          <w:highlight w:val="none"/>
          <w:lang w:val="en-US" w:eastAsia="zh-CN"/>
        </w:rPr>
        <w:t>26</w:t>
      </w:r>
      <w:r>
        <w:rPr>
          <w:rFonts w:hint="eastAsia" w:ascii="仿宋_GB2312" w:hAnsi="仿宋_GB2312" w:eastAsia="仿宋_GB2312" w:cs="仿宋_GB2312"/>
          <w:color w:val="auto"/>
          <w:sz w:val="32"/>
          <w:szCs w:val="32"/>
          <w:highlight w:val="none"/>
        </w:rPr>
        <w:t>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党支部大会</w:t>
      </w:r>
      <w:r>
        <w:rPr>
          <w:rFonts w:hint="default" w:ascii="Times New Roman" w:hAnsi="Times New Roman" w:eastAsia="仿宋_GB2312" w:cs="Times New Roman"/>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val="en-US" w:eastAsia="zh-CN"/>
        </w:rPr>
        <w:t>次、支部委会</w:t>
      </w:r>
      <w:r>
        <w:rPr>
          <w:rFonts w:hint="default" w:ascii="Times New Roman" w:hAnsi="Times New Roman" w:eastAsia="仿宋_GB2312" w:cs="Times New Roman"/>
          <w:color w:val="auto"/>
          <w:sz w:val="32"/>
          <w:szCs w:val="32"/>
          <w:highlight w:val="none"/>
          <w:lang w:val="en-US" w:eastAsia="zh-CN"/>
        </w:rPr>
        <w:t>12</w:t>
      </w:r>
      <w:r>
        <w:rPr>
          <w:rFonts w:hint="eastAsia" w:ascii="仿宋_GB2312" w:hAnsi="仿宋_GB2312" w:eastAsia="仿宋_GB2312" w:cs="仿宋_GB2312"/>
          <w:color w:val="auto"/>
          <w:sz w:val="32"/>
          <w:szCs w:val="32"/>
          <w:highlight w:val="none"/>
          <w:lang w:val="en-US" w:eastAsia="zh-CN"/>
        </w:rPr>
        <w:t>次、</w:t>
      </w:r>
      <w:r>
        <w:rPr>
          <w:rFonts w:hint="eastAsia" w:ascii="仿宋_GB2312" w:hAnsi="仿宋_GB2312" w:eastAsia="仿宋_GB2312" w:cs="仿宋_GB2312"/>
          <w:color w:val="auto"/>
          <w:sz w:val="32"/>
          <w:szCs w:val="32"/>
          <w:highlight w:val="none"/>
        </w:rPr>
        <w:t>主题</w:t>
      </w:r>
      <w:r>
        <w:rPr>
          <w:rFonts w:hint="eastAsia" w:ascii="仿宋_GB2312" w:hAnsi="仿宋_GB2312" w:eastAsia="仿宋_GB2312" w:cs="仿宋_GB2312"/>
          <w:color w:val="auto"/>
          <w:sz w:val="32"/>
          <w:szCs w:val="32"/>
          <w:highlight w:val="none"/>
          <w:lang w:eastAsia="zh-CN"/>
        </w:rPr>
        <w:t>党日</w:t>
      </w:r>
      <w:r>
        <w:rPr>
          <w:rFonts w:hint="eastAsia" w:ascii="仿宋_GB2312" w:hAnsi="仿宋_GB2312" w:eastAsia="仿宋_GB2312" w:cs="仿宋_GB2312"/>
          <w:color w:val="auto"/>
          <w:sz w:val="32"/>
          <w:szCs w:val="32"/>
          <w:highlight w:val="none"/>
        </w:rPr>
        <w:t>活动</w:t>
      </w:r>
      <w:r>
        <w:rPr>
          <w:rFonts w:hint="default" w:ascii="Times New Roman" w:hAnsi="Times New Roman" w:eastAsia="仿宋_GB2312" w:cs="Times New Roman"/>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次。</w:t>
      </w:r>
    </w:p>
    <w:p w14:paraId="4FDC3C42">
      <w:pPr>
        <w:pStyle w:val="13"/>
        <w:keepNext w:val="0"/>
        <w:keepLines w:val="0"/>
        <w:pageBreakBefore w:val="0"/>
        <w:widowControl w:val="0"/>
        <w:kinsoku/>
        <w:wordWrap/>
        <w:overflowPunct/>
        <w:topLinePunct w:val="0"/>
        <w:autoSpaceDE/>
        <w:autoSpaceDN/>
        <w:bidi w:val="0"/>
        <w:adjustRightInd/>
        <w:snapToGrid/>
        <w:spacing w:line="594" w:lineRule="exact"/>
        <w:ind w:firstLine="616"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②</w:t>
      </w:r>
      <w:r>
        <w:rPr>
          <w:rFonts w:hint="eastAsia" w:ascii="仿宋_GB2312" w:hAnsi="仿宋_GB2312" w:eastAsia="仿宋_GB2312" w:cs="仿宋_GB2312"/>
          <w:b w:val="0"/>
          <w:bCs w:val="0"/>
          <w:color w:val="auto"/>
          <w:sz w:val="32"/>
          <w:szCs w:val="32"/>
          <w:highlight w:val="none"/>
        </w:rPr>
        <w:t>切实履行审计委员会办公室职责。</w:t>
      </w:r>
      <w:r>
        <w:rPr>
          <w:rFonts w:hint="default" w:ascii="Times New Roman" w:hAnsi="Times New Roman" w:eastAsia="仿宋_GB2312" w:cs="Times New Roman"/>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eastAsia="zh-CN"/>
        </w:rPr>
        <w:t>下旬</w:t>
      </w:r>
      <w:r>
        <w:rPr>
          <w:rFonts w:hint="eastAsia" w:ascii="仿宋_GB2312" w:hAnsi="仿宋_GB2312" w:eastAsia="仿宋_GB2312" w:cs="仿宋_GB2312"/>
          <w:color w:val="auto"/>
          <w:sz w:val="32"/>
          <w:szCs w:val="32"/>
          <w:highlight w:val="none"/>
        </w:rPr>
        <w:t>召开了</w:t>
      </w:r>
      <w:r>
        <w:rPr>
          <w:rFonts w:hint="eastAsia" w:ascii="仿宋_GB2312" w:hAnsi="仿宋_GB2312" w:eastAsia="仿宋_GB2312" w:cs="仿宋_GB2312"/>
          <w:color w:val="auto"/>
          <w:sz w:val="32"/>
          <w:szCs w:val="32"/>
          <w:highlight w:val="none"/>
          <w:lang w:eastAsia="zh-CN"/>
        </w:rPr>
        <w:t>九届县</w:t>
      </w:r>
      <w:r>
        <w:rPr>
          <w:rFonts w:hint="eastAsia" w:ascii="仿宋_GB2312" w:hAnsi="仿宋_GB2312" w:eastAsia="仿宋_GB2312" w:cs="仿宋_GB2312"/>
          <w:color w:val="auto"/>
          <w:sz w:val="32"/>
          <w:szCs w:val="32"/>
          <w:highlight w:val="none"/>
        </w:rPr>
        <w:t>委审计委员会第</w:t>
      </w:r>
      <w:r>
        <w:rPr>
          <w:rFonts w:hint="eastAsia" w:ascii="仿宋_GB2312" w:hAnsi="仿宋_GB2312" w:eastAsia="仿宋_GB2312" w:cs="仿宋_GB2312"/>
          <w:color w:val="auto"/>
          <w:sz w:val="32"/>
          <w:szCs w:val="32"/>
          <w:highlight w:val="none"/>
          <w:lang w:eastAsia="zh-CN"/>
        </w:rPr>
        <w:t>七</w:t>
      </w:r>
      <w:r>
        <w:rPr>
          <w:rFonts w:hint="eastAsia" w:ascii="仿宋_GB2312" w:hAnsi="仿宋_GB2312" w:eastAsia="仿宋_GB2312" w:cs="仿宋_GB2312"/>
          <w:color w:val="auto"/>
          <w:sz w:val="32"/>
          <w:szCs w:val="32"/>
          <w:highlight w:val="none"/>
        </w:rPr>
        <w:t>次会议，</w:t>
      </w:r>
      <w:r>
        <w:rPr>
          <w:rFonts w:hint="eastAsia" w:ascii="仿宋_GB2312" w:hAnsi="仿宋_GB2312" w:eastAsia="仿宋_GB2312" w:cs="仿宋_GB2312"/>
          <w:color w:val="auto"/>
          <w:sz w:val="32"/>
          <w:szCs w:val="32"/>
          <w:highlight w:val="none"/>
          <w:lang w:val="en-US" w:eastAsia="zh-CN"/>
        </w:rPr>
        <w:t>传达习近平总书记对审计工作作出的重要指示精神和省委审计委员会会议、市委审计委员会会议精神，研究下一步工作意见。</w:t>
      </w:r>
      <w:r>
        <w:rPr>
          <w:rFonts w:hint="eastAsia" w:ascii="仿宋_GB2312" w:hAnsi="仿宋_GB2312" w:eastAsia="仿宋_GB2312" w:cs="仿宋_GB2312"/>
          <w:color w:val="auto"/>
          <w:sz w:val="32"/>
          <w:highlight w:val="none"/>
          <w:lang w:val="en-US" w:eastAsia="zh-CN"/>
        </w:rPr>
        <w:t>审议并原则同意《阳西县审计局</w:t>
      </w:r>
      <w:r>
        <w:rPr>
          <w:rFonts w:hint="default" w:ascii="Times New Roman" w:hAnsi="Times New Roman" w:eastAsia="仿宋_GB2312" w:cs="Times New Roman"/>
          <w:color w:val="auto"/>
          <w:sz w:val="32"/>
          <w:highlight w:val="none"/>
          <w:lang w:val="en-US" w:eastAsia="zh-CN"/>
        </w:rPr>
        <w:t>2025</w:t>
      </w:r>
      <w:r>
        <w:rPr>
          <w:rFonts w:hint="eastAsia" w:ascii="仿宋_GB2312" w:hAnsi="仿宋_GB2312" w:eastAsia="仿宋_GB2312" w:cs="仿宋_GB2312"/>
          <w:color w:val="auto"/>
          <w:sz w:val="32"/>
          <w:highlight w:val="none"/>
          <w:lang w:val="en-US" w:eastAsia="zh-CN"/>
        </w:rPr>
        <w:t>年度审计项目计划（草案）》等。</w:t>
      </w:r>
      <w:r>
        <w:rPr>
          <w:rFonts w:hint="default" w:ascii="Times New Roman" w:hAnsi="Times New Roman" w:eastAsia="仿宋_GB2312" w:cs="Times New Roman"/>
          <w:color w:val="auto"/>
          <w:sz w:val="32"/>
          <w:highlight w:val="none"/>
          <w:lang w:val="en-US" w:eastAsia="zh-CN"/>
        </w:rPr>
        <w:t>9</w:t>
      </w:r>
      <w:r>
        <w:rPr>
          <w:rFonts w:hint="eastAsia" w:ascii="仿宋_GB2312" w:hAnsi="仿宋_GB2312" w:eastAsia="仿宋_GB2312" w:cs="仿宋_GB2312"/>
          <w:color w:val="auto"/>
          <w:sz w:val="32"/>
          <w:highlight w:val="none"/>
          <w:lang w:val="en-US" w:eastAsia="zh-CN"/>
        </w:rPr>
        <w:t>月上旬召开了九届县委审计委员会第八次会议，</w:t>
      </w:r>
      <w:r>
        <w:rPr>
          <w:rFonts w:hint="eastAsia" w:ascii="仿宋_GB2312" w:hAnsi="仿宋_GB2312" w:eastAsia="仿宋_GB2312" w:cs="仿宋_GB2312"/>
          <w:color w:val="auto"/>
          <w:sz w:val="32"/>
          <w:highlight w:val="none"/>
          <w:lang w:eastAsia="zh-CN"/>
        </w:rPr>
        <w:t>传达习近平总书记在二十届中央审计委员会第三次会议上的重要讲话精神以及省委、市委审计委员会会议精神，研究下一步工作意见</w:t>
      </w:r>
      <w:r>
        <w:rPr>
          <w:rFonts w:hint="eastAsia" w:ascii="仿宋_GB2312" w:hAnsi="仿宋_GB2312" w:eastAsia="仿宋_GB2312" w:cs="仿宋_GB2312"/>
          <w:color w:val="auto"/>
          <w:sz w:val="32"/>
          <w:highlight w:val="none"/>
          <w:lang w:val="en-US" w:eastAsia="zh-CN"/>
        </w:rPr>
        <w:t>。严</w:t>
      </w:r>
      <w:r>
        <w:rPr>
          <w:rFonts w:hint="eastAsia" w:ascii="仿宋_GB2312" w:hAnsi="仿宋_GB2312" w:eastAsia="仿宋_GB2312" w:cs="仿宋_GB2312"/>
          <w:color w:val="auto"/>
          <w:sz w:val="32"/>
          <w:szCs w:val="32"/>
          <w:highlight w:val="none"/>
        </w:rPr>
        <w:t>格落实重大事项请示报告制度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以县委审计委员会办公室名义向市委审计委员会办公室上报重大事项材料</w:t>
      </w:r>
      <w:r>
        <w:rPr>
          <w:rFonts w:hint="default" w:ascii="Times New Roman" w:hAnsi="Times New Roman" w:eastAsia="仿宋_GB2312" w:cs="Times New Roman"/>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份。</w:t>
      </w:r>
    </w:p>
    <w:p w14:paraId="2084E0B8">
      <w:pPr>
        <w:keepNext w:val="0"/>
        <w:keepLines w:val="0"/>
        <w:pageBreakBefore w:val="0"/>
        <w:widowControl w:val="0"/>
        <w:kinsoku/>
        <w:wordWrap/>
        <w:overflowPunct/>
        <w:topLinePunct w:val="0"/>
        <w:autoSpaceDE/>
        <w:autoSpaceDN/>
        <w:bidi w:val="0"/>
        <w:adjustRightInd/>
        <w:snapToGrid/>
        <w:spacing w:line="594" w:lineRule="exact"/>
        <w:ind w:firstLine="616" w:firstLineChars="200"/>
        <w:jc w:val="both"/>
        <w:textAlignment w:val="auto"/>
        <w:rPr>
          <w:rFonts w:hint="eastAsia" w:ascii="Times New Roman" w:hAnsi="Times New Roman"/>
          <w:color w:val="auto"/>
          <w:highlight w:val="none"/>
        </w:rPr>
      </w:pPr>
      <w:r>
        <w:rPr>
          <w:rFonts w:hint="eastAsia" w:ascii="Times New Roman" w:hAnsi="Times New Roman" w:eastAsia="楷体" w:cs="楷体"/>
          <w:color w:val="auto"/>
          <w:sz w:val="32"/>
          <w:szCs w:val="32"/>
          <w:highlight w:val="none"/>
        </w:rPr>
        <w:t>（</w:t>
      </w:r>
      <w:r>
        <w:rPr>
          <w:rFonts w:hint="default" w:ascii="Times New Roman" w:hAnsi="Times New Roman" w:eastAsia="楷体" w:cs="Times New Roman"/>
          <w:color w:val="auto"/>
          <w:sz w:val="32"/>
          <w:szCs w:val="32"/>
          <w:highlight w:val="none"/>
          <w:lang w:val="en-US" w:eastAsia="zh-CN"/>
        </w:rPr>
        <w:t>2</w:t>
      </w:r>
      <w:r>
        <w:rPr>
          <w:rFonts w:hint="eastAsia" w:ascii="Times New Roman" w:hAnsi="Times New Roman" w:eastAsia="楷体" w:cs="楷体"/>
          <w:color w:val="auto"/>
          <w:sz w:val="32"/>
          <w:szCs w:val="32"/>
          <w:highlight w:val="none"/>
        </w:rPr>
        <w:t>）</w:t>
      </w:r>
      <w:r>
        <w:rPr>
          <w:rFonts w:hint="eastAsia" w:ascii="Times New Roman" w:hAnsi="Times New Roman" w:eastAsia="楷体" w:cs="楷体"/>
          <w:color w:val="auto"/>
          <w:sz w:val="32"/>
          <w:szCs w:val="32"/>
          <w:highlight w:val="none"/>
          <w:lang w:eastAsia="zh-CN"/>
        </w:rPr>
        <w:t>聚焦主责主业，在强化审计监督上有新突破</w:t>
      </w:r>
    </w:p>
    <w:p w14:paraId="5DDA2E6B">
      <w:pPr>
        <w:pStyle w:val="4"/>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16"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①全力推进审计项目实施，做好揭示问题“上半篇文章”。</w:t>
      </w:r>
      <w:r>
        <w:rPr>
          <w:rFonts w:hint="default" w:ascii="Times New Roman" w:hAnsi="Times New Roman" w:eastAsia="仿宋_GB2312" w:cs="Times New Roman"/>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年共完成审计（调查）项目</w:t>
      </w:r>
      <w:r>
        <w:rPr>
          <w:rFonts w:hint="default" w:ascii="Times New Roman" w:hAnsi="Times New Roman" w:eastAsia="仿宋_GB2312" w:cs="Times New Roman"/>
          <w:color w:val="auto"/>
          <w:kern w:val="2"/>
          <w:sz w:val="32"/>
          <w:szCs w:val="32"/>
          <w:highlight w:val="none"/>
          <w:lang w:val="en-US" w:eastAsia="zh-CN" w:bidi="ar-SA"/>
        </w:rPr>
        <w:t>15</w:t>
      </w:r>
      <w:r>
        <w:rPr>
          <w:rFonts w:hint="eastAsia" w:ascii="仿宋_GB2312" w:hAnsi="仿宋_GB2312" w:eastAsia="仿宋_GB2312" w:cs="仿宋_GB2312"/>
          <w:color w:val="auto"/>
          <w:kern w:val="2"/>
          <w:sz w:val="32"/>
          <w:szCs w:val="32"/>
          <w:highlight w:val="none"/>
          <w:lang w:val="en-US" w:eastAsia="zh-CN" w:bidi="ar-SA"/>
        </w:rPr>
        <w:t>个，涵盖财政审计、国有企业审计、资源环境审计、公共投资审计、民生审计、经济责任审计等</w:t>
      </w:r>
      <w:r>
        <w:rPr>
          <w:rFonts w:hint="default" w:ascii="Times New Roman" w:hAnsi="Times New Roman" w:eastAsia="仿宋_GB2312" w:cs="Times New Roman"/>
          <w:color w:val="auto"/>
          <w:kern w:val="2"/>
          <w:sz w:val="32"/>
          <w:szCs w:val="32"/>
          <w:highlight w:val="none"/>
          <w:lang w:val="en-US" w:eastAsia="zh-CN" w:bidi="ar-SA"/>
        </w:rPr>
        <w:t>6</w:t>
      </w:r>
      <w:r>
        <w:rPr>
          <w:rFonts w:hint="eastAsia" w:ascii="仿宋_GB2312" w:hAnsi="仿宋_GB2312" w:eastAsia="仿宋_GB2312" w:cs="仿宋_GB2312"/>
          <w:color w:val="auto"/>
          <w:kern w:val="2"/>
          <w:sz w:val="32"/>
          <w:szCs w:val="32"/>
          <w:highlight w:val="none"/>
          <w:lang w:val="en-US" w:eastAsia="zh-CN" w:bidi="ar-SA"/>
        </w:rPr>
        <w:t>大板块</w:t>
      </w:r>
      <w:r>
        <w:rPr>
          <w:rFonts w:hint="eastAsia" w:ascii="仿宋_GB2312" w:hAnsi="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出具审计报告和专项审计调查报告</w:t>
      </w:r>
      <w:r>
        <w:rPr>
          <w:rFonts w:hint="default" w:ascii="Times New Roman" w:hAnsi="Times New Roman" w:eastAsia="仿宋_GB2312" w:cs="Times New Roman"/>
          <w:color w:val="auto"/>
          <w:kern w:val="2"/>
          <w:sz w:val="32"/>
          <w:szCs w:val="32"/>
          <w:highlight w:val="none"/>
          <w:lang w:val="en-US" w:eastAsia="zh-CN" w:bidi="ar-SA"/>
        </w:rPr>
        <w:t>18</w:t>
      </w:r>
      <w:r>
        <w:rPr>
          <w:rFonts w:hint="eastAsia" w:ascii="仿宋_GB2312" w:hAnsi="仿宋_GB2312" w:eastAsia="仿宋_GB2312" w:cs="仿宋_GB2312"/>
          <w:color w:val="auto"/>
          <w:kern w:val="2"/>
          <w:sz w:val="32"/>
          <w:szCs w:val="32"/>
          <w:highlight w:val="none"/>
          <w:lang w:val="en-US" w:eastAsia="zh-CN" w:bidi="ar-SA"/>
        </w:rPr>
        <w:t>篇，查出主要问题</w:t>
      </w:r>
      <w:r>
        <w:rPr>
          <w:rFonts w:hint="default" w:ascii="Times New Roman" w:hAnsi="Times New Roman" w:eastAsia="仿宋_GB2312" w:cs="Times New Roman"/>
          <w:color w:val="auto"/>
          <w:kern w:val="2"/>
          <w:sz w:val="32"/>
          <w:szCs w:val="32"/>
          <w:highlight w:val="none"/>
          <w:lang w:val="en-US" w:eastAsia="zh-CN" w:bidi="ar-SA"/>
        </w:rPr>
        <w:t>267</w:t>
      </w:r>
      <w:r>
        <w:rPr>
          <w:rFonts w:hint="eastAsia" w:ascii="仿宋_GB2312" w:hAnsi="仿宋_GB2312" w:eastAsia="仿宋_GB2312" w:cs="仿宋_GB2312"/>
          <w:color w:val="auto"/>
          <w:kern w:val="2"/>
          <w:sz w:val="32"/>
          <w:szCs w:val="32"/>
          <w:highlight w:val="none"/>
          <w:lang w:val="en-US" w:eastAsia="zh-CN" w:bidi="ar-SA"/>
        </w:rPr>
        <w:t>个，向被审计单位提出审计建议</w:t>
      </w:r>
      <w:r>
        <w:rPr>
          <w:rFonts w:hint="default" w:ascii="Times New Roman" w:hAnsi="Times New Roman" w:eastAsia="仿宋_GB2312" w:cs="Times New Roman"/>
          <w:color w:val="auto"/>
          <w:kern w:val="2"/>
          <w:sz w:val="32"/>
          <w:szCs w:val="32"/>
          <w:highlight w:val="none"/>
          <w:lang w:val="en-US" w:eastAsia="zh-CN" w:bidi="ar-SA"/>
        </w:rPr>
        <w:t>61</w:t>
      </w:r>
      <w:r>
        <w:rPr>
          <w:rFonts w:hint="eastAsia" w:ascii="仿宋_GB2312" w:hAnsi="仿宋_GB2312" w:eastAsia="仿宋_GB2312" w:cs="仿宋_GB2312"/>
          <w:color w:val="auto"/>
          <w:kern w:val="2"/>
          <w:sz w:val="32"/>
          <w:szCs w:val="32"/>
          <w:highlight w:val="none"/>
          <w:lang w:val="en-US" w:eastAsia="zh-CN" w:bidi="ar-SA"/>
        </w:rPr>
        <w:t>条。在</w:t>
      </w:r>
      <w:r>
        <w:rPr>
          <w:rFonts w:hint="default" w:ascii="Times New Roman" w:hAnsi="Times New Roman" w:eastAsia="仿宋_GB2312" w:cs="Times New Roman"/>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年度全县县级机关绩效考核中，我局考核结果为“一等奖”，审计工作得到充分认可。</w:t>
      </w:r>
    </w:p>
    <w:p w14:paraId="62B18C93">
      <w:pPr>
        <w:keepNext w:val="0"/>
        <w:keepLines w:val="0"/>
        <w:pageBreakBefore w:val="0"/>
        <w:widowControl w:val="0"/>
        <w:numPr>
          <w:ilvl w:val="0"/>
          <w:numId w:val="0"/>
        </w:numPr>
        <w:kinsoku/>
        <w:wordWrap/>
        <w:overflowPunct/>
        <w:topLinePunct w:val="0"/>
        <w:autoSpaceDE/>
        <w:autoSpaceDN/>
        <w:bidi w:val="0"/>
        <w:adjustRightInd/>
        <w:snapToGrid w:val="0"/>
        <w:spacing w:line="594" w:lineRule="exact"/>
        <w:ind w:firstLine="616"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②加大审计整改监督力度，做好审计整改“下半篇文章”。</w:t>
      </w:r>
      <w:r>
        <w:rPr>
          <w:rFonts w:hint="eastAsia" w:ascii="仿宋_GB2312" w:hAnsi="仿宋_GB2312" w:eastAsia="仿宋_GB2312" w:cs="仿宋_GB2312"/>
          <w:color w:val="auto"/>
          <w:kern w:val="2"/>
          <w:sz w:val="32"/>
          <w:szCs w:val="32"/>
          <w:highlight w:val="none"/>
          <w:lang w:val="en-US" w:eastAsia="zh-CN" w:bidi="ar-SA"/>
        </w:rPr>
        <w:t>我局严格贯彻落实习近平总书记关于审计整改工作的重要指示批示精神，逐步完善审计整改工作长效机制，切实发挥审计工作“治已病、防未病”的重要作用。通过召开整改工作会议、组织上门督促整改、发督办函、电话督促和现场核实整改情况等方法，督促被审计单位开展整改工作。</w:t>
      </w:r>
      <w:r>
        <w:rPr>
          <w:rFonts w:hint="eastAsia" w:ascii="仿宋_GB2312" w:hAnsi="仿宋_GB2312" w:eastAsia="仿宋_GB2312" w:cs="仿宋_GB2312"/>
          <w:b w:val="0"/>
          <w:bCs w:val="0"/>
          <w:color w:val="auto"/>
          <w:kern w:val="2"/>
          <w:sz w:val="32"/>
          <w:szCs w:val="32"/>
          <w:highlight w:val="none"/>
          <w:lang w:eastAsia="zh-CN" w:bidi="ar-SA"/>
        </w:rPr>
        <w:t>我局</w:t>
      </w:r>
      <w:r>
        <w:rPr>
          <w:rFonts w:hint="default" w:ascii="Times New Roman" w:hAnsi="Times New Roman" w:eastAsia="仿宋_GB2312" w:cs="Times New Roman"/>
          <w:b w:val="0"/>
          <w:bCs w:val="0"/>
          <w:color w:val="auto"/>
          <w:kern w:val="2"/>
          <w:sz w:val="32"/>
          <w:szCs w:val="32"/>
          <w:highlight w:val="none"/>
          <w:lang w:val="en-US" w:eastAsia="zh-CN" w:bidi="ar-SA"/>
        </w:rPr>
        <w:t>2025</w:t>
      </w:r>
      <w:r>
        <w:rPr>
          <w:rFonts w:hint="eastAsia" w:ascii="仿宋_GB2312" w:hAnsi="仿宋_GB2312" w:eastAsia="仿宋_GB2312" w:cs="仿宋_GB2312"/>
          <w:b w:val="0"/>
          <w:bCs w:val="0"/>
          <w:color w:val="auto"/>
          <w:kern w:val="2"/>
          <w:sz w:val="32"/>
          <w:szCs w:val="32"/>
          <w:highlight w:val="none"/>
          <w:lang w:eastAsia="zh-CN" w:bidi="ar-SA"/>
        </w:rPr>
        <w:t>年度向县人大常委会汇报的《审计工作报告》反映的要求</w:t>
      </w:r>
      <w:r>
        <w:rPr>
          <w:rFonts w:hint="default" w:ascii="Times New Roman" w:hAnsi="Times New Roman" w:eastAsia="仿宋_GB2312" w:cs="Times New Roman"/>
          <w:b w:val="0"/>
          <w:bCs w:val="0"/>
          <w:color w:val="auto"/>
          <w:kern w:val="2"/>
          <w:sz w:val="32"/>
          <w:szCs w:val="32"/>
          <w:highlight w:val="none"/>
          <w:lang w:eastAsia="zh-CN" w:bidi="ar-SA"/>
        </w:rPr>
        <w:t>60</w:t>
      </w:r>
      <w:r>
        <w:rPr>
          <w:rFonts w:hint="eastAsia" w:ascii="仿宋_GB2312" w:hAnsi="仿宋_GB2312" w:eastAsia="仿宋_GB2312" w:cs="仿宋_GB2312"/>
          <w:b w:val="0"/>
          <w:bCs w:val="0"/>
          <w:color w:val="auto"/>
          <w:kern w:val="2"/>
          <w:sz w:val="32"/>
          <w:szCs w:val="32"/>
          <w:highlight w:val="none"/>
          <w:lang w:eastAsia="zh-CN" w:bidi="ar-SA"/>
        </w:rPr>
        <w:t>天内完成整改的立行立改问题</w:t>
      </w:r>
      <w:r>
        <w:rPr>
          <w:rFonts w:hint="default" w:ascii="Times New Roman" w:hAnsi="Times New Roman" w:eastAsia="仿宋_GB2312" w:cs="Times New Roman"/>
          <w:b w:val="0"/>
          <w:bCs w:val="0"/>
          <w:color w:val="auto"/>
          <w:kern w:val="2"/>
          <w:sz w:val="32"/>
          <w:szCs w:val="32"/>
          <w:highlight w:val="none"/>
          <w:lang w:eastAsia="zh-CN" w:bidi="ar-SA"/>
        </w:rPr>
        <w:t>116</w:t>
      </w:r>
      <w:r>
        <w:rPr>
          <w:rFonts w:hint="eastAsia" w:ascii="仿宋_GB2312" w:hAnsi="仿宋_GB2312" w:eastAsia="仿宋_GB2312" w:cs="仿宋_GB2312"/>
          <w:b w:val="0"/>
          <w:bCs w:val="0"/>
          <w:color w:val="auto"/>
          <w:kern w:val="2"/>
          <w:sz w:val="32"/>
          <w:szCs w:val="32"/>
          <w:highlight w:val="none"/>
          <w:lang w:eastAsia="zh-CN" w:bidi="ar-SA"/>
        </w:rPr>
        <w:t>个，已整改到位</w:t>
      </w:r>
      <w:r>
        <w:rPr>
          <w:rFonts w:hint="default" w:ascii="Times New Roman" w:hAnsi="Times New Roman" w:eastAsia="仿宋_GB2312" w:cs="Times New Roman"/>
          <w:b w:val="0"/>
          <w:bCs w:val="0"/>
          <w:color w:val="auto"/>
          <w:kern w:val="2"/>
          <w:sz w:val="32"/>
          <w:szCs w:val="32"/>
          <w:highlight w:val="none"/>
          <w:lang w:eastAsia="zh-CN" w:bidi="ar-SA"/>
        </w:rPr>
        <w:t>103</w:t>
      </w:r>
      <w:r>
        <w:rPr>
          <w:rFonts w:hint="eastAsia" w:ascii="仿宋_GB2312" w:hAnsi="仿宋_GB2312" w:eastAsia="仿宋_GB2312" w:cs="仿宋_GB2312"/>
          <w:b w:val="0"/>
          <w:bCs w:val="0"/>
          <w:color w:val="auto"/>
          <w:kern w:val="2"/>
          <w:sz w:val="32"/>
          <w:szCs w:val="32"/>
          <w:highlight w:val="none"/>
          <w:lang w:eastAsia="zh-CN" w:bidi="ar-SA"/>
        </w:rPr>
        <w:t>个，整改到位率</w:t>
      </w:r>
      <w:r>
        <w:rPr>
          <w:rFonts w:hint="default" w:ascii="Times New Roman" w:hAnsi="Times New Roman" w:eastAsia="仿宋_GB2312" w:cs="Times New Roman"/>
          <w:b w:val="0"/>
          <w:bCs w:val="0"/>
          <w:color w:val="auto"/>
          <w:kern w:val="2"/>
          <w:sz w:val="32"/>
          <w:szCs w:val="32"/>
          <w:highlight w:val="none"/>
          <w:lang w:eastAsia="zh-CN" w:bidi="ar-SA"/>
        </w:rPr>
        <w:t>88</w:t>
      </w:r>
      <w:r>
        <w:rPr>
          <w:rFonts w:hint="eastAsia" w:ascii="仿宋_GB2312" w:hAnsi="仿宋_GB2312" w:eastAsia="仿宋_GB2312" w:cs="仿宋_GB2312"/>
          <w:b w:val="0"/>
          <w:bCs w:val="0"/>
          <w:color w:val="auto"/>
          <w:kern w:val="2"/>
          <w:sz w:val="32"/>
          <w:szCs w:val="32"/>
          <w:highlight w:val="none"/>
          <w:lang w:eastAsia="zh-CN" w:bidi="ar-SA"/>
        </w:rPr>
        <w:t>.</w:t>
      </w:r>
      <w:r>
        <w:rPr>
          <w:rFonts w:hint="default" w:ascii="Times New Roman" w:hAnsi="Times New Roman" w:eastAsia="仿宋_GB2312" w:cs="Times New Roman"/>
          <w:b w:val="0"/>
          <w:bCs w:val="0"/>
          <w:color w:val="auto"/>
          <w:kern w:val="2"/>
          <w:sz w:val="32"/>
          <w:szCs w:val="32"/>
          <w:highlight w:val="none"/>
          <w:lang w:eastAsia="zh-CN" w:bidi="ar-SA"/>
        </w:rPr>
        <w:t>79</w:t>
      </w:r>
      <w:r>
        <w:rPr>
          <w:rFonts w:hint="eastAsia" w:ascii="Times New Roman" w:hAnsi="Times New Roman" w:eastAsia="仿宋_GB2312" w:cs="Times New Roman"/>
          <w:b w:val="0"/>
          <w:bCs w:val="0"/>
          <w:color w:val="auto"/>
          <w:kern w:val="2"/>
          <w:sz w:val="32"/>
          <w:szCs w:val="32"/>
          <w:highlight w:val="none"/>
          <w:lang w:eastAsia="zh-CN" w:bidi="ar-SA"/>
        </w:rPr>
        <w:t>%</w:t>
      </w:r>
      <w:r>
        <w:rPr>
          <w:rFonts w:hint="eastAsia" w:ascii="仿宋_GB2312" w:hAnsi="仿宋_GB2312" w:cs="仿宋_GB2312"/>
          <w:b w:val="0"/>
          <w:bCs w:val="0"/>
          <w:color w:val="auto"/>
          <w:kern w:val="2"/>
          <w:sz w:val="32"/>
          <w:szCs w:val="32"/>
          <w:highlight w:val="none"/>
          <w:lang w:eastAsia="zh-CN" w:bidi="ar-SA"/>
        </w:rPr>
        <w:t>。</w:t>
      </w:r>
    </w:p>
    <w:p w14:paraId="6A52919B">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16" w:firstLineChars="200"/>
        <w:jc w:val="left"/>
        <w:textAlignment w:val="auto"/>
        <w:rPr>
          <w:rFonts w:hint="eastAsia" w:ascii="Times New Roman" w:hAnsi="Times New Roman" w:eastAsia="楷体" w:cs="楷体"/>
          <w:color w:val="auto"/>
          <w:kern w:val="2"/>
          <w:sz w:val="32"/>
          <w:szCs w:val="32"/>
          <w:highlight w:val="none"/>
          <w:lang w:val="en-US" w:eastAsia="zh-CN" w:bidi="ar-SA"/>
        </w:rPr>
      </w:pPr>
      <w:r>
        <w:rPr>
          <w:rFonts w:hint="eastAsia" w:ascii="Times New Roman" w:hAnsi="Times New Roman" w:eastAsia="楷体" w:cs="楷体"/>
          <w:color w:val="auto"/>
          <w:kern w:val="2"/>
          <w:sz w:val="32"/>
          <w:szCs w:val="32"/>
          <w:highlight w:val="none"/>
          <w:lang w:val="en-US" w:eastAsia="zh-CN" w:bidi="ar-SA"/>
        </w:rPr>
        <w:t>（</w:t>
      </w:r>
      <w:r>
        <w:rPr>
          <w:rFonts w:hint="default" w:ascii="Times New Roman" w:hAnsi="Times New Roman" w:eastAsia="楷体" w:cs="Times New Roman"/>
          <w:color w:val="auto"/>
          <w:kern w:val="2"/>
          <w:sz w:val="32"/>
          <w:szCs w:val="32"/>
          <w:highlight w:val="none"/>
          <w:lang w:val="en-US" w:eastAsia="zh-CN" w:bidi="ar-SA"/>
        </w:rPr>
        <w:t>3</w:t>
      </w:r>
      <w:r>
        <w:rPr>
          <w:rFonts w:hint="eastAsia" w:ascii="Times New Roman" w:hAnsi="Times New Roman" w:eastAsia="楷体" w:cs="楷体"/>
          <w:color w:val="auto"/>
          <w:kern w:val="2"/>
          <w:sz w:val="32"/>
          <w:szCs w:val="32"/>
          <w:highlight w:val="none"/>
          <w:lang w:val="en-US" w:eastAsia="zh-CN" w:bidi="ar-SA"/>
        </w:rPr>
        <w:t>）坚持守正创新，在推进审计工作上有新成效</w:t>
      </w:r>
    </w:p>
    <w:p w14:paraId="697F5CF3">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16"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①扎实开展深入贯彻中央八项规定精神学习教育。坚持学习为先，跟进学习贯彻习近平总书记最新重要讲话、重要指示批示精神。局党组坚决扛牢政治责任，严格按照上级要求，扎实推进各项学习教育活动，开展理论学习中心组专题学习</w:t>
      </w:r>
      <w:r>
        <w:rPr>
          <w:rFonts w:hint="default" w:ascii="Times New Roman" w:hAnsi="Times New Roman" w:eastAsia="仿宋_GB2312" w:cs="Times New Roman"/>
          <w:b w:val="0"/>
          <w:bCs w:val="0"/>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lang w:val="en-US" w:eastAsia="zh-CN"/>
        </w:rPr>
        <w:t>次，主题党日活动</w:t>
      </w:r>
      <w:r>
        <w:rPr>
          <w:rFonts w:hint="default" w:ascii="Times New Roman" w:hAnsi="Times New Roman" w:eastAsia="仿宋_GB2312" w:cs="Times New Roman"/>
          <w:b w:val="0"/>
          <w:bCs w:val="0"/>
          <w:color w:val="auto"/>
          <w:sz w:val="32"/>
          <w:szCs w:val="32"/>
          <w:highlight w:val="none"/>
          <w:lang w:val="en-US" w:eastAsia="zh-CN"/>
        </w:rPr>
        <w:t>4</w:t>
      </w:r>
      <w:r>
        <w:rPr>
          <w:rFonts w:hint="eastAsia" w:ascii="仿宋_GB2312" w:hAnsi="仿宋_GB2312" w:eastAsia="仿宋_GB2312" w:cs="仿宋_GB2312"/>
          <w:b w:val="0"/>
          <w:bCs w:val="0"/>
          <w:color w:val="auto"/>
          <w:sz w:val="32"/>
          <w:szCs w:val="32"/>
          <w:highlight w:val="none"/>
          <w:lang w:val="en-US" w:eastAsia="zh-CN"/>
        </w:rPr>
        <w:t>次，警示教育</w:t>
      </w:r>
      <w:r>
        <w:rPr>
          <w:rFonts w:hint="default" w:ascii="Times New Roman" w:hAnsi="Times New Roman" w:eastAsia="仿宋_GB2312" w:cs="Times New Roman"/>
          <w:b w:val="0"/>
          <w:bCs w:val="0"/>
          <w:color w:val="auto"/>
          <w:sz w:val="32"/>
          <w:szCs w:val="32"/>
          <w:highlight w:val="none"/>
          <w:lang w:val="en-US" w:eastAsia="zh-CN"/>
        </w:rPr>
        <w:t>2</w:t>
      </w:r>
      <w:r>
        <w:rPr>
          <w:rFonts w:hint="eastAsia" w:ascii="仿宋_GB2312" w:hAnsi="仿宋_GB2312" w:eastAsia="仿宋_GB2312" w:cs="仿宋_GB2312"/>
          <w:b w:val="0"/>
          <w:bCs w:val="0"/>
          <w:color w:val="auto"/>
          <w:sz w:val="32"/>
          <w:szCs w:val="32"/>
          <w:highlight w:val="none"/>
          <w:lang w:val="en-US" w:eastAsia="zh-CN"/>
        </w:rPr>
        <w:t>次</w:t>
      </w:r>
      <w:r>
        <w:rPr>
          <w:rFonts w:hint="eastAsia" w:ascii="仿宋_GB2312" w:hAnsi="仿宋_GB2312" w:cs="仿宋_GB2312"/>
          <w:b w:val="0"/>
          <w:bCs w:val="0"/>
          <w:color w:val="auto"/>
          <w:sz w:val="32"/>
          <w:szCs w:val="32"/>
          <w:highlight w:val="none"/>
          <w:lang w:val="en-US" w:eastAsia="zh-CN"/>
        </w:rPr>
        <w:t>。</w:t>
      </w:r>
    </w:p>
    <w:p w14:paraId="13803E57">
      <w:pPr>
        <w:keepNext w:val="0"/>
        <w:keepLines w:val="0"/>
        <w:pageBreakBefore w:val="0"/>
        <w:widowControl w:val="0"/>
        <w:kinsoku/>
        <w:wordWrap/>
        <w:overflowPunct/>
        <w:topLinePunct w:val="0"/>
        <w:autoSpaceDE/>
        <w:autoSpaceDN/>
        <w:bidi w:val="0"/>
        <w:adjustRightInd/>
        <w:snapToGrid/>
        <w:spacing w:line="594" w:lineRule="exact"/>
        <w:ind w:firstLine="616" w:firstLineChars="200"/>
        <w:jc w:val="both"/>
        <w:textAlignment w:val="auto"/>
        <w:rPr>
          <w:rFonts w:hint="eastAsia" w:ascii="仿宋_GB2312" w:hAnsi="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②全面推进贯通协同。选派政治素质高、业务能力强的审计干部加入县委巡察人才库管理，发挥审计人员在财政财务管理、经济管</w:t>
      </w:r>
      <w:r>
        <w:rPr>
          <w:rFonts w:hint="eastAsia" w:ascii="仿宋_GB2312" w:hAnsi="仿宋_GB2312" w:cs="仿宋_GB2312"/>
          <w:b w:val="0"/>
          <w:bCs w:val="0"/>
          <w:color w:val="auto"/>
          <w:sz w:val="32"/>
          <w:szCs w:val="32"/>
          <w:highlight w:val="none"/>
          <w:lang w:val="en-US" w:eastAsia="zh-CN"/>
        </w:rPr>
        <w:t>理等</w:t>
      </w:r>
      <w:r>
        <w:rPr>
          <w:rFonts w:hint="eastAsia" w:ascii="仿宋_GB2312" w:hAnsi="仿宋_GB2312" w:eastAsia="仿宋_GB2312" w:cs="仿宋_GB2312"/>
          <w:b w:val="0"/>
          <w:bCs w:val="0"/>
          <w:color w:val="auto"/>
          <w:sz w:val="32"/>
          <w:szCs w:val="32"/>
          <w:highlight w:val="none"/>
          <w:lang w:val="en-US" w:eastAsia="zh-CN"/>
        </w:rPr>
        <w:t>方面的专业优势和特长，参与巡视巡察和配合纪检监察工作。</w:t>
      </w:r>
      <w:r>
        <w:rPr>
          <w:rFonts w:hint="default" w:ascii="Times New Roman" w:hAnsi="Times New Roman" w:eastAsia="仿宋_GB2312" w:cs="Times New Roman"/>
          <w:b w:val="0"/>
          <w:bCs w:val="0"/>
          <w:color w:val="auto"/>
          <w:sz w:val="32"/>
          <w:szCs w:val="32"/>
          <w:highlight w:val="none"/>
          <w:lang w:val="en-US" w:eastAsia="zh-CN"/>
        </w:rPr>
        <w:t>2025</w:t>
      </w:r>
      <w:r>
        <w:rPr>
          <w:rFonts w:hint="eastAsia" w:ascii="仿宋_GB2312" w:hAnsi="仿宋_GB2312" w:eastAsia="仿宋_GB2312" w:cs="仿宋_GB2312"/>
          <w:b w:val="0"/>
          <w:bCs w:val="0"/>
          <w:color w:val="auto"/>
          <w:sz w:val="32"/>
          <w:szCs w:val="32"/>
          <w:highlight w:val="none"/>
          <w:lang w:val="en-US" w:eastAsia="zh-CN"/>
        </w:rPr>
        <w:t>年，安排</w:t>
      </w:r>
      <w:r>
        <w:rPr>
          <w:rFonts w:hint="default" w:ascii="Times New Roman" w:hAnsi="Times New Roman" w:eastAsia="仿宋_GB2312" w:cs="Times New Roman"/>
          <w:b w:val="0"/>
          <w:bCs w:val="0"/>
          <w:color w:val="auto"/>
          <w:sz w:val="32"/>
          <w:szCs w:val="32"/>
          <w:highlight w:val="none"/>
          <w:lang w:val="en-US" w:eastAsia="zh-CN"/>
        </w:rPr>
        <w:t>4</w:t>
      </w:r>
      <w:r>
        <w:rPr>
          <w:rFonts w:hint="eastAsia" w:ascii="仿宋_GB2312" w:hAnsi="仿宋_GB2312" w:eastAsia="仿宋_GB2312" w:cs="仿宋_GB2312"/>
          <w:b w:val="0"/>
          <w:bCs w:val="0"/>
          <w:color w:val="auto"/>
          <w:sz w:val="32"/>
          <w:szCs w:val="32"/>
          <w:highlight w:val="none"/>
          <w:lang w:val="en-US" w:eastAsia="zh-CN"/>
        </w:rPr>
        <w:t>人次参加市县巡察工作</w:t>
      </w:r>
      <w:r>
        <w:rPr>
          <w:rFonts w:hint="eastAsia" w:ascii="仿宋_GB2312" w:hAnsi="仿宋_GB2312" w:cs="仿宋_GB2312"/>
          <w:b w:val="0"/>
          <w:bCs w:val="0"/>
          <w:color w:val="auto"/>
          <w:sz w:val="32"/>
          <w:szCs w:val="32"/>
          <w:highlight w:val="none"/>
          <w:lang w:val="en-US" w:eastAsia="zh-CN"/>
        </w:rPr>
        <w:t>。</w:t>
      </w:r>
    </w:p>
    <w:p w14:paraId="6BBAF7B2">
      <w:pPr>
        <w:keepNext w:val="0"/>
        <w:keepLines w:val="0"/>
        <w:pageBreakBefore w:val="0"/>
        <w:widowControl w:val="0"/>
        <w:kinsoku/>
        <w:wordWrap/>
        <w:overflowPunct/>
        <w:topLinePunct w:val="0"/>
        <w:autoSpaceDE/>
        <w:autoSpaceDN/>
        <w:bidi w:val="0"/>
        <w:adjustRightInd/>
        <w:snapToGrid/>
        <w:spacing w:line="594" w:lineRule="exact"/>
        <w:ind w:firstLine="616" w:firstLineChars="200"/>
        <w:jc w:val="both"/>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b w:val="0"/>
          <w:bCs w:val="0"/>
          <w:color w:val="auto"/>
          <w:kern w:val="2"/>
          <w:sz w:val="32"/>
          <w:szCs w:val="32"/>
          <w:highlight w:val="none"/>
          <w:lang w:val="en-US" w:eastAsia="zh-CN" w:bidi="ar-SA"/>
        </w:rPr>
        <w:t>③扎实推进法治建设。</w:t>
      </w:r>
      <w:r>
        <w:rPr>
          <w:rFonts w:hint="eastAsia" w:ascii="仿宋_GB2312" w:hAnsi="仿宋_GB2312" w:eastAsia="仿宋_GB2312" w:cs="仿宋_GB2312"/>
          <w:color w:val="auto"/>
          <w:kern w:val="2"/>
          <w:sz w:val="32"/>
          <w:szCs w:val="32"/>
          <w:highlight w:val="none"/>
          <w:lang w:val="en-US" w:eastAsia="zh-CN" w:bidi="ar-SA"/>
        </w:rPr>
        <w:t>坚持学法为先、依法执审、普法提效，牢固树立依法审计意识，不断推进法治建设走深走实。</w:t>
      </w:r>
      <w:r>
        <w:rPr>
          <w:rFonts w:hint="default" w:ascii="Times New Roman" w:hAnsi="Times New Roman" w:eastAsia="仿宋_GB2312" w:cs="Times New Roman"/>
          <w:b w:val="0"/>
          <w:bCs w:val="0"/>
          <w:i w:val="0"/>
          <w:caps w:val="0"/>
          <w:color w:val="auto"/>
          <w:spacing w:val="0"/>
          <w:sz w:val="32"/>
          <w:szCs w:val="32"/>
          <w:highlight w:val="none"/>
          <w:shd w:val="clear" w:color="auto" w:fill="FFFFFF"/>
          <w:lang w:val="en-US" w:eastAsia="zh-CN"/>
        </w:rPr>
        <w:t>2025</w:t>
      </w:r>
      <w:r>
        <w:rPr>
          <w:rFonts w:hint="eastAsia" w:ascii="仿宋_GB2312" w:hAnsi="仿宋_GB2312" w:eastAsia="仿宋_GB2312" w:cs="仿宋_GB2312"/>
          <w:b w:val="0"/>
          <w:bCs w:val="0"/>
          <w:i w:val="0"/>
          <w:caps w:val="0"/>
          <w:color w:val="auto"/>
          <w:spacing w:val="0"/>
          <w:sz w:val="32"/>
          <w:szCs w:val="32"/>
          <w:highlight w:val="none"/>
          <w:shd w:val="clear" w:color="auto" w:fill="FFFFFF"/>
          <w:lang w:val="en-US" w:eastAsia="zh-CN"/>
        </w:rPr>
        <w:t>年，共开展社会普法</w:t>
      </w:r>
      <w:r>
        <w:rPr>
          <w:rFonts w:hint="default" w:ascii="Times New Roman" w:hAnsi="Times New Roman" w:eastAsia="仿宋_GB2312" w:cs="Times New Roman"/>
          <w:b w:val="0"/>
          <w:bCs w:val="0"/>
          <w:i w:val="0"/>
          <w:caps w:val="0"/>
          <w:color w:val="auto"/>
          <w:spacing w:val="0"/>
          <w:sz w:val="32"/>
          <w:szCs w:val="32"/>
          <w:highlight w:val="none"/>
          <w:shd w:val="clear" w:color="auto" w:fill="FFFFFF"/>
          <w:lang w:val="en-US" w:eastAsia="zh-CN"/>
        </w:rPr>
        <w:t>12</w:t>
      </w:r>
      <w:r>
        <w:rPr>
          <w:rFonts w:hint="eastAsia" w:ascii="仿宋_GB2312" w:hAnsi="仿宋_GB2312" w:eastAsia="仿宋_GB2312" w:cs="仿宋_GB2312"/>
          <w:b w:val="0"/>
          <w:bCs w:val="0"/>
          <w:i w:val="0"/>
          <w:caps w:val="0"/>
          <w:color w:val="auto"/>
          <w:spacing w:val="0"/>
          <w:sz w:val="32"/>
          <w:szCs w:val="32"/>
          <w:highlight w:val="none"/>
          <w:shd w:val="clear" w:color="auto" w:fill="FFFFFF"/>
          <w:lang w:val="en-US" w:eastAsia="zh-CN"/>
        </w:rPr>
        <w:t>次，向群众普法、发放普法宣传册、海报等资料</w:t>
      </w:r>
      <w:r>
        <w:rPr>
          <w:rFonts w:hint="default" w:ascii="Times New Roman" w:hAnsi="Times New Roman" w:eastAsia="仿宋_GB2312" w:cs="Times New Roman"/>
          <w:b w:val="0"/>
          <w:bCs w:val="0"/>
          <w:i w:val="0"/>
          <w:caps w:val="0"/>
          <w:color w:val="auto"/>
          <w:spacing w:val="0"/>
          <w:sz w:val="32"/>
          <w:szCs w:val="32"/>
          <w:highlight w:val="none"/>
          <w:shd w:val="clear" w:color="auto" w:fill="FFFFFF"/>
          <w:lang w:val="en-US" w:eastAsia="zh-CN"/>
        </w:rPr>
        <w:t>400</w:t>
      </w:r>
      <w:r>
        <w:rPr>
          <w:rFonts w:hint="eastAsia" w:ascii="仿宋_GB2312" w:hAnsi="仿宋_GB2312" w:eastAsia="仿宋_GB2312" w:cs="仿宋_GB2312"/>
          <w:b w:val="0"/>
          <w:bCs w:val="0"/>
          <w:i w:val="0"/>
          <w:caps w:val="0"/>
          <w:color w:val="auto"/>
          <w:spacing w:val="0"/>
          <w:sz w:val="32"/>
          <w:szCs w:val="32"/>
          <w:highlight w:val="none"/>
          <w:shd w:val="clear" w:color="auto" w:fill="FFFFFF"/>
          <w:lang w:val="en-US" w:eastAsia="zh-CN"/>
        </w:rPr>
        <w:t>余份，累计向被审计单位、挂点村学校及群众赠送《宪法》《民法典》《国家安全法》《保守国家秘密法》和新修订的《审计法》等普法书籍</w:t>
      </w:r>
      <w:r>
        <w:rPr>
          <w:rFonts w:hint="default" w:ascii="Times New Roman" w:hAnsi="Times New Roman" w:eastAsia="仿宋_GB2312" w:cs="Times New Roman"/>
          <w:b w:val="0"/>
          <w:bCs w:val="0"/>
          <w:i w:val="0"/>
          <w:caps w:val="0"/>
          <w:color w:val="auto"/>
          <w:spacing w:val="0"/>
          <w:sz w:val="32"/>
          <w:szCs w:val="32"/>
          <w:highlight w:val="none"/>
          <w:shd w:val="clear" w:color="auto" w:fill="FFFFFF"/>
          <w:lang w:val="en-US" w:eastAsia="zh-CN"/>
        </w:rPr>
        <w:t>200</w:t>
      </w:r>
      <w:r>
        <w:rPr>
          <w:rFonts w:hint="eastAsia" w:ascii="仿宋_GB2312" w:hAnsi="仿宋_GB2312" w:eastAsia="仿宋_GB2312" w:cs="仿宋_GB2312"/>
          <w:b w:val="0"/>
          <w:bCs w:val="0"/>
          <w:i w:val="0"/>
          <w:caps w:val="0"/>
          <w:color w:val="auto"/>
          <w:spacing w:val="0"/>
          <w:sz w:val="32"/>
          <w:szCs w:val="32"/>
          <w:highlight w:val="none"/>
          <w:shd w:val="clear" w:color="auto" w:fill="FFFFFF"/>
          <w:lang w:val="en-US" w:eastAsia="zh-CN"/>
        </w:rPr>
        <w:t>余册。</w:t>
      </w:r>
    </w:p>
    <w:p w14:paraId="0D85DA23">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16" w:firstLineChars="200"/>
        <w:textAlignment w:val="auto"/>
        <w:rPr>
          <w:rFonts w:hint="eastAsia" w:ascii="Times New Roman" w:hAnsi="Times New Roman" w:eastAsia="楷体" w:cs="楷体"/>
          <w:color w:val="auto"/>
          <w:kern w:val="2"/>
          <w:sz w:val="32"/>
          <w:szCs w:val="32"/>
          <w:highlight w:val="none"/>
          <w:lang w:val="en-US" w:eastAsia="zh-CN" w:bidi="ar-SA"/>
        </w:rPr>
      </w:pPr>
      <w:r>
        <w:rPr>
          <w:rFonts w:hint="eastAsia" w:ascii="Times New Roman" w:hAnsi="Times New Roman" w:eastAsia="楷体" w:cs="楷体"/>
          <w:color w:val="auto"/>
          <w:kern w:val="2"/>
          <w:sz w:val="32"/>
          <w:szCs w:val="32"/>
          <w:highlight w:val="none"/>
          <w:lang w:val="en-US" w:eastAsia="zh-CN" w:bidi="ar-SA"/>
        </w:rPr>
        <w:t>（</w:t>
      </w:r>
      <w:r>
        <w:rPr>
          <w:rFonts w:hint="default" w:ascii="Times New Roman" w:hAnsi="Times New Roman" w:eastAsia="楷体" w:cs="Times New Roman"/>
          <w:color w:val="auto"/>
          <w:kern w:val="2"/>
          <w:sz w:val="32"/>
          <w:szCs w:val="32"/>
          <w:highlight w:val="none"/>
          <w:lang w:val="en-US" w:eastAsia="zh-CN" w:bidi="ar-SA"/>
        </w:rPr>
        <w:t>4</w:t>
      </w:r>
      <w:r>
        <w:rPr>
          <w:rFonts w:hint="eastAsia" w:ascii="Times New Roman" w:hAnsi="Times New Roman" w:eastAsia="楷体" w:cs="楷体"/>
          <w:color w:val="auto"/>
          <w:kern w:val="2"/>
          <w:sz w:val="32"/>
          <w:szCs w:val="32"/>
          <w:highlight w:val="none"/>
          <w:lang w:val="en-US" w:eastAsia="zh-CN" w:bidi="ar-SA"/>
        </w:rPr>
        <w:t>）强化党建引领，在加强自身建设上有新局面</w:t>
      </w:r>
    </w:p>
    <w:p w14:paraId="0D06E357">
      <w:pPr>
        <w:pStyle w:val="2"/>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①党建引领凝心铸魂。积极开展“四个万家”普遍联系群众活动和“心连心”共富裕党员干部密切联系服务群众工作，</w:t>
      </w:r>
      <w:r>
        <w:rPr>
          <w:rFonts w:hint="default" w:ascii="Times New Roman" w:hAnsi="Times New Roman" w:eastAsia="仿宋_GB2312" w:cs="Times New Roman"/>
          <w:b w:val="0"/>
          <w:bCs w:val="0"/>
          <w:color w:val="auto"/>
          <w:kern w:val="2"/>
          <w:sz w:val="32"/>
          <w:szCs w:val="32"/>
          <w:highlight w:val="none"/>
          <w:lang w:val="en-US" w:eastAsia="zh-CN" w:bidi="ar-SA"/>
        </w:rPr>
        <w:t>2025</w:t>
      </w:r>
      <w:r>
        <w:rPr>
          <w:rFonts w:hint="eastAsia" w:ascii="仿宋_GB2312" w:hAnsi="仿宋_GB2312" w:eastAsia="仿宋_GB2312" w:cs="仿宋_GB2312"/>
          <w:b w:val="0"/>
          <w:bCs w:val="0"/>
          <w:color w:val="auto"/>
          <w:kern w:val="2"/>
          <w:sz w:val="32"/>
          <w:szCs w:val="32"/>
          <w:highlight w:val="none"/>
          <w:lang w:val="en-US" w:eastAsia="zh-CN" w:bidi="ar-SA"/>
        </w:rPr>
        <w:t>年共组织开展集中帮扶走访慰问</w:t>
      </w:r>
      <w:r>
        <w:rPr>
          <w:rFonts w:hint="default" w:ascii="Times New Roman" w:hAnsi="Times New Roman" w:eastAsia="仿宋_GB2312" w:cs="Times New Roman"/>
          <w:b w:val="0"/>
          <w:bCs w:val="0"/>
          <w:color w:val="auto"/>
          <w:kern w:val="2"/>
          <w:sz w:val="32"/>
          <w:szCs w:val="32"/>
          <w:highlight w:val="none"/>
          <w:lang w:val="en-US" w:eastAsia="zh-CN" w:bidi="ar-SA"/>
        </w:rPr>
        <w:t>6</w:t>
      </w:r>
      <w:r>
        <w:rPr>
          <w:rFonts w:hint="eastAsia" w:ascii="仿宋_GB2312" w:hAnsi="仿宋_GB2312" w:eastAsia="仿宋_GB2312" w:cs="仿宋_GB2312"/>
          <w:b w:val="0"/>
          <w:bCs w:val="0"/>
          <w:color w:val="auto"/>
          <w:kern w:val="2"/>
          <w:sz w:val="32"/>
          <w:szCs w:val="32"/>
          <w:highlight w:val="none"/>
          <w:lang w:val="en-US" w:eastAsia="zh-CN" w:bidi="ar-SA"/>
        </w:rPr>
        <w:t>次，超强台风“桦加沙”过后，积极走访挂点学校收集困难学生家中受灾情况并上报相关部门，组织局党员干部到挂点村、网格责任区开展人居环境整治、基孔肯雅热疫情防控、植树、“百县千镇万村高质量发展工程”宣传、普法宣传、抗风防洪、慰问帮扶等日常工作。</w:t>
      </w:r>
    </w:p>
    <w:p w14:paraId="6A415A14">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16" w:firstLineChars="200"/>
        <w:textAlignment w:val="auto"/>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②从严治党走深走实。</w:t>
      </w:r>
      <w:r>
        <w:rPr>
          <w:rFonts w:hint="eastAsia" w:ascii="仿宋_GB2312" w:hAnsi="仿宋_GB2312" w:eastAsia="仿宋_GB2312" w:cs="仿宋_GB2312"/>
          <w:color w:val="auto"/>
          <w:kern w:val="2"/>
          <w:sz w:val="32"/>
          <w:szCs w:val="32"/>
          <w:highlight w:val="none"/>
          <w:lang w:val="en-US" w:eastAsia="zh-CN" w:bidi="ar-SA"/>
        </w:rPr>
        <w:t>班子成员严格履行“一岗双责”，落实全面从严治党政治责任，严格落实中央八项规定及其实施细则精神，认真贯彻执行民主集中制</w:t>
      </w:r>
      <w:r>
        <w:rPr>
          <w:rFonts w:hint="eastAsia" w:ascii="仿宋_GB2312" w:hAnsi="仿宋_GB2312" w:cs="仿宋_GB2312"/>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年党组专题研究党风廉政工作</w:t>
      </w:r>
      <w:r>
        <w:rPr>
          <w:rFonts w:hint="default" w:ascii="Times New Roman" w:hAnsi="Times New Roman" w:eastAsia="仿宋_GB2312" w:cs="Times New Roman"/>
          <w:color w:val="auto"/>
          <w:kern w:val="2"/>
          <w:sz w:val="32"/>
          <w:szCs w:val="32"/>
          <w:highlight w:val="none"/>
          <w:lang w:val="en-US" w:eastAsia="zh-CN" w:bidi="ar-SA"/>
        </w:rPr>
        <w:t>4</w:t>
      </w:r>
      <w:r>
        <w:rPr>
          <w:rFonts w:hint="eastAsia" w:ascii="仿宋_GB2312" w:hAnsi="仿宋_GB2312" w:eastAsia="仿宋_GB2312" w:cs="仿宋_GB2312"/>
          <w:color w:val="auto"/>
          <w:kern w:val="2"/>
          <w:sz w:val="32"/>
          <w:szCs w:val="32"/>
          <w:highlight w:val="none"/>
          <w:lang w:val="en-US" w:eastAsia="zh-CN" w:bidi="ar-SA"/>
        </w:rPr>
        <w:t>次，不断夯实政治建设基础，实现党风廉政建设工作和审计主责主业“两不误、两促进”。</w:t>
      </w:r>
    </w:p>
    <w:p w14:paraId="6D75DDBE">
      <w:pPr>
        <w:keepNext w:val="0"/>
        <w:keepLines w:val="0"/>
        <w:pageBreakBefore w:val="0"/>
        <w:widowControl w:val="0"/>
        <w:kinsoku/>
        <w:wordWrap/>
        <w:overflowPunct/>
        <w:topLinePunct w:val="0"/>
        <w:autoSpaceDE/>
        <w:autoSpaceDN/>
        <w:bidi w:val="0"/>
        <w:adjustRightInd/>
        <w:snapToGrid/>
        <w:spacing w:line="594" w:lineRule="exact"/>
        <w:ind w:firstLine="616"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③作风建设抓常抓长。</w:t>
      </w:r>
      <w:r>
        <w:rPr>
          <w:rFonts w:hint="default" w:ascii="Times New Roman" w:hAnsi="Times New Roman" w:eastAsia="仿宋_GB2312" w:cs="Times New Roman"/>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年，我局共完成谈话提醒</w:t>
      </w:r>
      <w:r>
        <w:rPr>
          <w:rFonts w:hint="default" w:ascii="Times New Roman" w:hAnsi="Times New Roman" w:eastAsia="仿宋_GB2312" w:cs="Times New Roman"/>
          <w:color w:val="auto"/>
          <w:kern w:val="2"/>
          <w:sz w:val="32"/>
          <w:szCs w:val="32"/>
          <w:highlight w:val="none"/>
          <w:lang w:val="en-US" w:eastAsia="zh-CN" w:bidi="ar-SA"/>
        </w:rPr>
        <w:t>50</w:t>
      </w:r>
      <w:r>
        <w:rPr>
          <w:rFonts w:hint="eastAsia" w:ascii="仿宋_GB2312" w:hAnsi="仿宋_GB2312" w:eastAsia="仿宋_GB2312" w:cs="仿宋_GB2312"/>
          <w:color w:val="auto"/>
          <w:kern w:val="2"/>
          <w:sz w:val="32"/>
          <w:szCs w:val="32"/>
          <w:highlight w:val="none"/>
          <w:lang w:val="en-US" w:eastAsia="zh-CN" w:bidi="ar-SA"/>
        </w:rPr>
        <w:t>人次，层层签订党风廉政建设责任书</w:t>
      </w:r>
      <w:r>
        <w:rPr>
          <w:rFonts w:hint="default" w:ascii="Times New Roman" w:hAnsi="Times New Roman" w:eastAsia="仿宋_GB2312" w:cs="Times New Roman"/>
          <w:color w:val="auto"/>
          <w:kern w:val="2"/>
          <w:sz w:val="32"/>
          <w:szCs w:val="32"/>
          <w:highlight w:val="none"/>
          <w:lang w:val="en-US" w:eastAsia="zh-CN" w:bidi="ar-SA"/>
        </w:rPr>
        <w:t>33</w:t>
      </w:r>
      <w:r>
        <w:rPr>
          <w:rFonts w:hint="eastAsia" w:ascii="仿宋_GB2312" w:hAnsi="仿宋_GB2312" w:eastAsia="仿宋_GB2312" w:cs="仿宋_GB2312"/>
          <w:color w:val="auto"/>
          <w:kern w:val="2"/>
          <w:sz w:val="32"/>
          <w:szCs w:val="32"/>
          <w:highlight w:val="none"/>
          <w:lang w:val="en-US" w:eastAsia="zh-CN" w:bidi="ar-SA"/>
        </w:rPr>
        <w:t>份，引导党员干部严于律己，自觉筑牢拒腐防变的思想防线，一体推进不敢腐、不能腐、不想腐</w:t>
      </w:r>
      <w:r>
        <w:rPr>
          <w:rFonts w:hint="eastAsia" w:ascii="仿宋_GB2312" w:hAnsi="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同时，通过组织观看警示教育片、主题党日、上专题党课等方式，进一步增强了全体党员干部廉洁从政意识和拒腐防变能力，形成“依法审计、廉洁审计”的优良作风。</w:t>
      </w:r>
    </w:p>
    <w:p w14:paraId="5AAE0FB6">
      <w:pPr>
        <w:pStyle w:val="2"/>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仿宋_GB2312" w:hAnsi="仿宋_GB2312" w:cs="仿宋_GB2312"/>
          <w:bCs/>
          <w:color w:val="auto"/>
          <w:szCs w:val="32"/>
          <w:highlight w:val="none"/>
          <w:lang w:bidi="ar"/>
        </w:rPr>
      </w:pPr>
      <w:r>
        <w:rPr>
          <w:rFonts w:hint="eastAsia" w:ascii="仿宋_GB2312" w:hAnsi="仿宋_GB2312" w:eastAsia="仿宋_GB2312" w:cs="仿宋_GB2312"/>
          <w:b w:val="0"/>
          <w:bCs w:val="0"/>
          <w:color w:val="auto"/>
          <w:kern w:val="2"/>
          <w:sz w:val="32"/>
          <w:szCs w:val="32"/>
          <w:highlight w:val="none"/>
          <w:lang w:val="en-US" w:eastAsia="zh-CN" w:bidi="ar-SA"/>
        </w:rPr>
        <w:t>④队伍培育见行见效。通过开展“审计讲堂”、召开审计年轻干部座谈会、走出去学习交流、以干代训以及鼓励干部报考审计相关职称等方式抓好能力提升，全面提升干部业务水平和综合能力。</w:t>
      </w:r>
      <w:r>
        <w:rPr>
          <w:rFonts w:hint="default" w:ascii="Times New Roman" w:hAnsi="Times New Roman" w:eastAsia="仿宋_GB2312" w:cs="Times New Roman"/>
          <w:b w:val="0"/>
          <w:bCs w:val="0"/>
          <w:color w:val="auto"/>
          <w:kern w:val="2"/>
          <w:sz w:val="32"/>
          <w:szCs w:val="32"/>
          <w:highlight w:val="none"/>
          <w:lang w:val="en-US" w:eastAsia="zh-CN" w:bidi="ar-SA"/>
        </w:rPr>
        <w:t>2025</w:t>
      </w:r>
      <w:r>
        <w:rPr>
          <w:rFonts w:hint="eastAsia" w:ascii="仿宋_GB2312" w:hAnsi="仿宋_GB2312" w:eastAsia="仿宋_GB2312" w:cs="仿宋_GB2312"/>
          <w:b w:val="0"/>
          <w:bCs w:val="0"/>
          <w:color w:val="auto"/>
          <w:kern w:val="2"/>
          <w:sz w:val="32"/>
          <w:szCs w:val="32"/>
          <w:highlight w:val="none"/>
          <w:lang w:val="en-US" w:eastAsia="zh-CN" w:bidi="ar-SA"/>
        </w:rPr>
        <w:t>年，共开展局业务会学习培训</w:t>
      </w:r>
      <w:r>
        <w:rPr>
          <w:rFonts w:hint="default" w:ascii="Times New Roman" w:hAnsi="Times New Roman" w:eastAsia="仿宋_GB2312" w:cs="Times New Roman"/>
          <w:b w:val="0"/>
          <w:bCs w:val="0"/>
          <w:color w:val="auto"/>
          <w:kern w:val="2"/>
          <w:sz w:val="32"/>
          <w:szCs w:val="32"/>
          <w:highlight w:val="none"/>
          <w:lang w:val="en-US" w:eastAsia="zh-CN" w:bidi="ar-SA"/>
        </w:rPr>
        <w:t>15</w:t>
      </w:r>
      <w:r>
        <w:rPr>
          <w:rFonts w:hint="eastAsia" w:ascii="仿宋_GB2312" w:hAnsi="仿宋_GB2312" w:eastAsia="仿宋_GB2312" w:cs="仿宋_GB2312"/>
          <w:b w:val="0"/>
          <w:bCs w:val="0"/>
          <w:color w:val="auto"/>
          <w:kern w:val="2"/>
          <w:sz w:val="32"/>
          <w:szCs w:val="32"/>
          <w:highlight w:val="none"/>
          <w:lang w:val="en-US" w:eastAsia="zh-CN" w:bidi="ar-SA"/>
        </w:rPr>
        <w:t>次，共覆盖约</w:t>
      </w:r>
      <w:r>
        <w:rPr>
          <w:rFonts w:hint="default" w:ascii="Times New Roman" w:hAnsi="Times New Roman" w:eastAsia="仿宋_GB2312" w:cs="Times New Roman"/>
          <w:b w:val="0"/>
          <w:bCs w:val="0"/>
          <w:color w:val="auto"/>
          <w:kern w:val="2"/>
          <w:sz w:val="32"/>
          <w:szCs w:val="32"/>
          <w:highlight w:val="none"/>
          <w:lang w:val="en-US" w:eastAsia="zh-CN" w:bidi="ar-SA"/>
        </w:rPr>
        <w:t>150</w:t>
      </w:r>
      <w:r>
        <w:rPr>
          <w:rFonts w:hint="eastAsia" w:ascii="仿宋_GB2312" w:hAnsi="仿宋_GB2312" w:eastAsia="仿宋_GB2312" w:cs="仿宋_GB2312"/>
          <w:b w:val="0"/>
          <w:bCs w:val="0"/>
          <w:color w:val="auto"/>
          <w:kern w:val="2"/>
          <w:sz w:val="32"/>
          <w:szCs w:val="32"/>
          <w:highlight w:val="none"/>
          <w:lang w:val="en-US" w:eastAsia="zh-CN" w:bidi="ar-SA"/>
        </w:rPr>
        <w:t>人次；举办高质量“审计讲堂”</w:t>
      </w:r>
      <w:r>
        <w:rPr>
          <w:rFonts w:hint="default" w:ascii="Times New Roman" w:hAnsi="Times New Roman" w:eastAsia="仿宋_GB2312" w:cs="Times New Roman"/>
          <w:b w:val="0"/>
          <w:bCs w:val="0"/>
          <w:color w:val="auto"/>
          <w:kern w:val="2"/>
          <w:sz w:val="32"/>
          <w:szCs w:val="32"/>
          <w:highlight w:val="none"/>
          <w:lang w:val="en-US" w:eastAsia="zh-CN" w:bidi="ar-SA"/>
        </w:rPr>
        <w:t>8</w:t>
      </w:r>
      <w:r>
        <w:rPr>
          <w:rFonts w:hint="eastAsia" w:ascii="仿宋_GB2312" w:hAnsi="仿宋_GB2312" w:eastAsia="仿宋_GB2312" w:cs="仿宋_GB2312"/>
          <w:b w:val="0"/>
          <w:bCs w:val="0"/>
          <w:color w:val="auto"/>
          <w:kern w:val="2"/>
          <w:sz w:val="32"/>
          <w:szCs w:val="32"/>
          <w:highlight w:val="none"/>
          <w:lang w:val="en-US" w:eastAsia="zh-CN" w:bidi="ar-SA"/>
        </w:rPr>
        <w:t>期，审计干部“能查、能说、能写”能力得到全面提升。</w:t>
      </w:r>
    </w:p>
    <w:p w14:paraId="5355B78D">
      <w:pPr>
        <w:ind w:firstLine="616" w:firstLineChars="200"/>
        <w:rPr>
          <w:rFonts w:hint="eastAsia" w:ascii="仿宋_GB2312" w:hAnsi="仿宋_GB2312" w:cs="仿宋_GB2312"/>
          <w:b/>
          <w:bCs w:val="0"/>
          <w:color w:val="auto"/>
          <w:szCs w:val="32"/>
          <w:highlight w:val="none"/>
          <w:lang w:bidi="ar"/>
        </w:rPr>
      </w:pPr>
      <w:bookmarkStart w:id="7" w:name="_Toc28424_WPSOffice_Level2"/>
      <w:bookmarkStart w:id="8" w:name="_Toc8086"/>
      <w:r>
        <w:rPr>
          <w:rFonts w:hint="default" w:ascii="Times New Roman" w:hAnsi="Times New Roman" w:cs="Times New Roman"/>
          <w:b/>
          <w:bCs w:val="0"/>
          <w:color w:val="auto"/>
          <w:sz w:val="32"/>
          <w:szCs w:val="32"/>
          <w:highlight w:val="none"/>
          <w:lang w:val="en-US" w:eastAsia="zh-CN" w:bidi="ar"/>
        </w:rPr>
        <w:t>2</w:t>
      </w:r>
      <w:r>
        <w:rPr>
          <w:rFonts w:hint="eastAsia" w:ascii="仿宋_GB2312" w:hAnsi="仿宋_GB2312" w:cs="仿宋_GB2312"/>
          <w:b/>
          <w:bCs w:val="0"/>
          <w:color w:val="auto"/>
          <w:szCs w:val="32"/>
          <w:highlight w:val="none"/>
          <w:lang w:val="en-US" w:eastAsia="zh-CN" w:bidi="ar"/>
        </w:rPr>
        <w:t>.</w:t>
      </w:r>
      <w:r>
        <w:rPr>
          <w:rFonts w:hint="default" w:ascii="Times New Roman" w:hAnsi="Times New Roman" w:cs="Times New Roman"/>
          <w:b/>
          <w:bCs w:val="0"/>
          <w:color w:val="auto"/>
          <w:sz w:val="32"/>
          <w:szCs w:val="32"/>
          <w:highlight w:val="none"/>
          <w:lang w:bidi="ar"/>
        </w:rPr>
        <w:t>202</w:t>
      </w:r>
      <w:r>
        <w:rPr>
          <w:rFonts w:hint="default" w:ascii="Times New Roman" w:hAnsi="Times New Roman" w:cs="Times New Roman"/>
          <w:b/>
          <w:bCs w:val="0"/>
          <w:color w:val="auto"/>
          <w:sz w:val="32"/>
          <w:szCs w:val="32"/>
          <w:highlight w:val="none"/>
          <w:lang w:val="en-US" w:eastAsia="zh-CN" w:bidi="ar"/>
        </w:rPr>
        <w:t>5</w:t>
      </w:r>
      <w:r>
        <w:rPr>
          <w:rFonts w:hint="eastAsia" w:ascii="仿宋_GB2312" w:hAnsi="仿宋_GB2312" w:cs="仿宋_GB2312"/>
          <w:b/>
          <w:bCs w:val="0"/>
          <w:color w:val="auto"/>
          <w:szCs w:val="32"/>
          <w:highlight w:val="none"/>
          <w:lang w:bidi="ar"/>
        </w:rPr>
        <w:t>年重点工作任务</w:t>
      </w:r>
    </w:p>
    <w:p w14:paraId="24CE33B2">
      <w:pPr>
        <w:keepNext w:val="0"/>
        <w:keepLines w:val="0"/>
        <w:pageBreakBefore w:val="0"/>
        <w:widowControl w:val="0"/>
        <w:kinsoku/>
        <w:wordWrap/>
        <w:overflowPunct/>
        <w:topLinePunct w:val="0"/>
        <w:autoSpaceDE/>
        <w:bidi w:val="0"/>
        <w:spacing w:line="540" w:lineRule="exact"/>
        <w:ind w:firstLine="616" w:firstLineChars="200"/>
        <w:textAlignment w:val="auto"/>
        <w:rPr>
          <w:rFonts w:hint="eastAsia" w:ascii="仿宋_GB2312" w:hAnsi="仿宋_GB2312" w:cs="仿宋_GB2312"/>
          <w:bCs/>
          <w:color w:val="auto"/>
          <w:sz w:val="32"/>
          <w:szCs w:val="32"/>
          <w:highlight w:val="none"/>
          <w:lang w:val="en-US" w:eastAsia="zh-CN" w:bidi="ar"/>
        </w:rPr>
      </w:pPr>
      <w:r>
        <w:rPr>
          <w:rFonts w:hint="eastAsia"/>
          <w:b w:val="0"/>
          <w:bCs/>
          <w:color w:val="auto"/>
          <w:sz w:val="32"/>
          <w:szCs w:val="32"/>
          <w:highlight w:val="none"/>
          <w:lang w:val="en-US" w:eastAsia="zh-CN"/>
        </w:rPr>
        <w:t>根据县委、县政府、县人大、上级审计机关、县委审计委和县相关部门交办或下达的工作任务，以及全县重大工作规划中确定的任务和本部门年度工作计划中规定的重点任务等，</w:t>
      </w:r>
      <w:r>
        <w:rPr>
          <w:rFonts w:hint="default" w:ascii="Times New Roman" w:hAnsi="Times New Roman" w:cs="Times New Roman"/>
          <w:b w:val="0"/>
          <w:bCs/>
          <w:color w:val="auto"/>
          <w:sz w:val="32"/>
          <w:szCs w:val="32"/>
          <w:highlight w:val="none"/>
          <w:lang w:val="en-US" w:eastAsia="zh-CN"/>
        </w:rPr>
        <w:t>2025</w:t>
      </w:r>
      <w:r>
        <w:rPr>
          <w:rFonts w:hint="eastAsia"/>
          <w:b w:val="0"/>
          <w:bCs/>
          <w:color w:val="auto"/>
          <w:sz w:val="32"/>
          <w:szCs w:val="32"/>
          <w:highlight w:val="none"/>
          <w:lang w:val="en-US" w:eastAsia="zh-CN"/>
        </w:rPr>
        <w:t>年度本部门</w:t>
      </w:r>
      <w:r>
        <w:rPr>
          <w:rFonts w:hint="eastAsia" w:ascii="仿宋_GB2312" w:hAnsi="仿宋_GB2312" w:cs="仿宋_GB2312"/>
          <w:bCs/>
          <w:color w:val="auto"/>
          <w:sz w:val="32"/>
          <w:szCs w:val="32"/>
          <w:highlight w:val="none"/>
          <w:lang w:bidi="ar"/>
        </w:rPr>
        <w:t>重点工作任务</w:t>
      </w:r>
      <w:r>
        <w:rPr>
          <w:rFonts w:hint="eastAsia" w:ascii="仿宋_GB2312" w:hAnsi="仿宋_GB2312" w:cs="仿宋_GB2312"/>
          <w:bCs/>
          <w:color w:val="auto"/>
          <w:sz w:val="32"/>
          <w:szCs w:val="32"/>
          <w:highlight w:val="none"/>
          <w:lang w:val="en-US" w:eastAsia="zh-CN" w:bidi="ar"/>
        </w:rPr>
        <w:t>完成情况如下：</w:t>
      </w:r>
    </w:p>
    <w:p w14:paraId="510E1423">
      <w:pPr>
        <w:keepNext w:val="0"/>
        <w:keepLines w:val="0"/>
        <w:pageBreakBefore w:val="0"/>
        <w:widowControl w:val="0"/>
        <w:kinsoku/>
        <w:wordWrap/>
        <w:overflowPunct/>
        <w:topLinePunct w:val="0"/>
        <w:autoSpaceDE/>
        <w:bidi w:val="0"/>
        <w:spacing w:line="540" w:lineRule="exact"/>
        <w:ind w:firstLine="616" w:firstLineChars="200"/>
        <w:textAlignment w:val="auto"/>
        <w:rPr>
          <w:rFonts w:hint="eastAsia"/>
          <w:b/>
          <w:color w:val="auto"/>
          <w:highlight w:val="none"/>
        </w:rPr>
      </w:pPr>
      <w:r>
        <w:rPr>
          <w:rFonts w:hint="eastAsia"/>
          <w:b/>
          <w:bCs w:val="0"/>
          <w:color w:val="auto"/>
          <w:sz w:val="32"/>
          <w:szCs w:val="32"/>
          <w:highlight w:val="none"/>
          <w:lang w:val="en-US" w:eastAsia="zh-CN"/>
        </w:rPr>
        <w:t>一是</w:t>
      </w:r>
      <w:r>
        <w:rPr>
          <w:rFonts w:hint="eastAsia"/>
          <w:b w:val="0"/>
          <w:bCs/>
          <w:color w:val="auto"/>
          <w:sz w:val="32"/>
          <w:szCs w:val="32"/>
          <w:highlight w:val="none"/>
          <w:lang w:val="en-US" w:eastAsia="zh-CN"/>
        </w:rPr>
        <w:t>完成了</w:t>
      </w:r>
      <w:r>
        <w:rPr>
          <w:rFonts w:hint="default" w:ascii="Times New Roman" w:hAnsi="Times New Roman" w:cs="Times New Roman"/>
          <w:b w:val="0"/>
          <w:bCs/>
          <w:color w:val="auto"/>
          <w:sz w:val="32"/>
          <w:szCs w:val="32"/>
          <w:highlight w:val="none"/>
          <w:lang w:val="en-US" w:eastAsia="zh-CN"/>
        </w:rPr>
        <w:t>2025</w:t>
      </w:r>
      <w:r>
        <w:rPr>
          <w:rFonts w:hint="eastAsia" w:ascii="Times New Roman" w:hAnsi="Times New Roman" w:cs="Times New Roman"/>
          <w:b w:val="0"/>
          <w:bCs/>
          <w:color w:val="auto"/>
          <w:sz w:val="32"/>
          <w:szCs w:val="32"/>
          <w:highlight w:val="none"/>
          <w:lang w:val="en-US" w:eastAsia="zh-CN"/>
        </w:rPr>
        <w:t>年</w:t>
      </w:r>
      <w:r>
        <w:rPr>
          <w:rFonts w:hint="eastAsia"/>
          <w:b w:val="0"/>
          <w:bCs/>
          <w:color w:val="auto"/>
          <w:sz w:val="32"/>
          <w:szCs w:val="32"/>
          <w:highlight w:val="none"/>
          <w:lang w:val="en-US" w:eastAsia="zh-CN"/>
        </w:rPr>
        <w:t>度审计项目工作，并出具了相应的审计报告；</w:t>
      </w:r>
      <w:r>
        <w:rPr>
          <w:rFonts w:hint="eastAsia"/>
          <w:b/>
          <w:bCs w:val="0"/>
          <w:color w:val="auto"/>
          <w:sz w:val="32"/>
          <w:szCs w:val="32"/>
          <w:highlight w:val="none"/>
          <w:lang w:val="en-US" w:eastAsia="zh-CN"/>
        </w:rPr>
        <w:t>二是</w:t>
      </w:r>
      <w:r>
        <w:rPr>
          <w:rFonts w:hint="eastAsia"/>
          <w:b w:val="0"/>
          <w:bCs/>
          <w:color w:val="auto"/>
          <w:sz w:val="32"/>
          <w:szCs w:val="32"/>
          <w:highlight w:val="none"/>
          <w:lang w:val="en-US" w:eastAsia="zh-CN"/>
        </w:rPr>
        <w:t>抓好</w:t>
      </w:r>
      <w:r>
        <w:rPr>
          <w:rFonts w:hint="default" w:ascii="Times New Roman" w:hAnsi="Times New Roman" w:cs="Times New Roman"/>
          <w:b w:val="0"/>
          <w:bCs/>
          <w:color w:val="auto"/>
          <w:sz w:val="32"/>
          <w:szCs w:val="32"/>
          <w:highlight w:val="none"/>
          <w:lang w:val="en-US" w:eastAsia="zh-CN"/>
        </w:rPr>
        <w:t>2025</w:t>
      </w:r>
      <w:r>
        <w:rPr>
          <w:rFonts w:hint="eastAsia"/>
          <w:b w:val="0"/>
          <w:bCs/>
          <w:color w:val="auto"/>
          <w:sz w:val="32"/>
          <w:szCs w:val="32"/>
          <w:highlight w:val="none"/>
          <w:lang w:val="en-US" w:eastAsia="zh-CN"/>
        </w:rPr>
        <w:t>年度上级交办、本级审计发现问题的审计整改工作,进一步加强审计查出问题的整改成效，</w:t>
      </w:r>
      <w:r>
        <w:rPr>
          <w:rFonts w:hint="eastAsia" w:ascii="仿宋_GB2312" w:hAnsi="仿宋_GB2312" w:eastAsia="仿宋_GB2312" w:cs="仿宋_GB2312"/>
          <w:color w:val="auto"/>
          <w:kern w:val="2"/>
          <w:sz w:val="32"/>
          <w:szCs w:val="32"/>
          <w:highlight w:val="none"/>
          <w:lang w:val="en-US" w:eastAsia="zh-CN" w:bidi="ar-SA"/>
        </w:rPr>
        <w:t>切实发挥审计工作“治已病、防未病”的重要作用</w:t>
      </w:r>
      <w:r>
        <w:rPr>
          <w:rFonts w:hint="eastAsia"/>
          <w:b w:val="0"/>
          <w:bCs/>
          <w:color w:val="auto"/>
          <w:sz w:val="32"/>
          <w:szCs w:val="32"/>
          <w:highlight w:val="none"/>
          <w:lang w:val="en-US" w:eastAsia="zh-CN"/>
        </w:rPr>
        <w:t>；</w:t>
      </w:r>
      <w:r>
        <w:rPr>
          <w:rFonts w:hint="eastAsia"/>
          <w:b/>
          <w:bCs w:val="0"/>
          <w:color w:val="auto"/>
          <w:sz w:val="32"/>
          <w:szCs w:val="32"/>
          <w:highlight w:val="none"/>
          <w:lang w:val="en-US" w:eastAsia="zh-CN"/>
        </w:rPr>
        <w:t>三是</w:t>
      </w:r>
      <w:r>
        <w:rPr>
          <w:rFonts w:hint="eastAsia"/>
          <w:b w:val="0"/>
          <w:bCs/>
          <w:color w:val="auto"/>
          <w:sz w:val="32"/>
          <w:szCs w:val="32"/>
          <w:highlight w:val="none"/>
          <w:lang w:val="en-US" w:eastAsia="zh-CN"/>
        </w:rPr>
        <w:t>从严从实抓好机关党建、廉政工作，强化党建引领。</w:t>
      </w:r>
      <w:r>
        <w:rPr>
          <w:rFonts w:hint="eastAsia" w:ascii="仿宋_GB2312" w:hAnsi="仿宋_GB2312" w:eastAsia="仿宋_GB2312" w:cs="仿宋_GB2312"/>
          <w:color w:val="auto"/>
          <w:kern w:val="2"/>
          <w:sz w:val="32"/>
          <w:szCs w:val="32"/>
          <w:highlight w:val="none"/>
          <w:lang w:val="en-US" w:eastAsia="zh-CN" w:bidi="ar-SA"/>
        </w:rPr>
        <w:t>通过组织观看警示教育片、主题党日、上专题党课等方式</w:t>
      </w:r>
      <w:r>
        <w:rPr>
          <w:rFonts w:hint="eastAsia" w:ascii="仿宋_GB2312" w:hAnsi="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增强了全体党员干部廉洁从政意识和拒腐防变能力，进一步形成“依法审计、廉洁审计”的优良作</w:t>
      </w:r>
      <w:r>
        <w:rPr>
          <w:rFonts w:hint="eastAsia" w:ascii="仿宋_GB2312" w:hAnsi="仿宋_GB2312" w:cs="仿宋_GB2312"/>
          <w:color w:val="auto"/>
          <w:kern w:val="2"/>
          <w:sz w:val="32"/>
          <w:szCs w:val="32"/>
          <w:highlight w:val="none"/>
          <w:lang w:val="en-US" w:eastAsia="zh-CN" w:bidi="ar-SA"/>
        </w:rPr>
        <w:t>风。</w:t>
      </w:r>
      <w:r>
        <w:rPr>
          <w:rFonts w:hint="eastAsia"/>
          <w:b/>
          <w:bCs w:val="0"/>
          <w:color w:val="auto"/>
          <w:sz w:val="32"/>
          <w:szCs w:val="32"/>
          <w:highlight w:val="none"/>
          <w:lang w:val="en-US" w:eastAsia="zh-CN"/>
        </w:rPr>
        <w:t>四是</w:t>
      </w:r>
      <w:r>
        <w:rPr>
          <w:rFonts w:hint="eastAsia" w:ascii="仿宋_GB2312" w:hAnsi="仿宋_GB2312" w:eastAsia="仿宋_GB2312" w:cs="仿宋_GB2312"/>
          <w:b w:val="0"/>
          <w:bCs w:val="0"/>
          <w:color w:val="auto"/>
          <w:kern w:val="2"/>
          <w:sz w:val="32"/>
          <w:szCs w:val="32"/>
          <w:highlight w:val="none"/>
          <w:lang w:val="en-US" w:eastAsia="zh-CN" w:bidi="ar-SA"/>
        </w:rPr>
        <w:t>积极开展“四个万家”普遍联系群众活动和“心连心”共富裕党员干部密切联系服务群众工作，共组织开展集中帮扶走访慰问</w:t>
      </w:r>
      <w:r>
        <w:rPr>
          <w:rFonts w:hint="default" w:ascii="Times New Roman" w:hAnsi="Times New Roman" w:eastAsia="仿宋_GB2312" w:cs="Times New Roman"/>
          <w:b w:val="0"/>
          <w:bCs w:val="0"/>
          <w:color w:val="auto"/>
          <w:kern w:val="2"/>
          <w:sz w:val="32"/>
          <w:szCs w:val="32"/>
          <w:highlight w:val="none"/>
          <w:lang w:val="en-US" w:eastAsia="zh-CN" w:bidi="ar-SA"/>
        </w:rPr>
        <w:t>6</w:t>
      </w:r>
      <w:r>
        <w:rPr>
          <w:rFonts w:hint="eastAsia" w:ascii="仿宋_GB2312" w:hAnsi="仿宋_GB2312" w:eastAsia="仿宋_GB2312" w:cs="仿宋_GB2312"/>
          <w:b w:val="0"/>
          <w:bCs w:val="0"/>
          <w:color w:val="auto"/>
          <w:kern w:val="2"/>
          <w:sz w:val="32"/>
          <w:szCs w:val="32"/>
          <w:highlight w:val="none"/>
          <w:lang w:val="en-US" w:eastAsia="zh-CN" w:bidi="ar-SA"/>
        </w:rPr>
        <w:t>次</w:t>
      </w:r>
      <w:r>
        <w:rPr>
          <w:rFonts w:hint="eastAsia" w:ascii="仿宋_GB2312" w:hAnsi="仿宋_GB2312" w:cs="仿宋_GB2312"/>
          <w:b w:val="0"/>
          <w:bCs w:val="0"/>
          <w:color w:val="auto"/>
          <w:kern w:val="2"/>
          <w:sz w:val="32"/>
          <w:szCs w:val="32"/>
          <w:highlight w:val="none"/>
          <w:lang w:val="en-US" w:eastAsia="zh-CN" w:bidi="ar-SA"/>
        </w:rPr>
        <w:t>。</w:t>
      </w:r>
      <w:r>
        <w:rPr>
          <w:rFonts w:hint="eastAsia" w:ascii="仿宋_GB2312" w:hAnsi="仿宋_GB2312" w:eastAsia="仿宋_GB2312" w:cs="仿宋_GB2312"/>
          <w:b w:val="0"/>
          <w:bCs w:val="0"/>
          <w:color w:val="auto"/>
          <w:kern w:val="2"/>
          <w:sz w:val="32"/>
          <w:szCs w:val="32"/>
          <w:highlight w:val="none"/>
          <w:lang w:val="en-US" w:eastAsia="zh-CN" w:bidi="ar-SA"/>
        </w:rPr>
        <w:t>超强台风“桦加沙”过后，积极走访挂点学校收集困难学生家中受灾情况并上报相关部门</w:t>
      </w:r>
      <w:r>
        <w:rPr>
          <w:rFonts w:hint="eastAsia" w:ascii="仿宋_GB2312" w:hAnsi="仿宋_GB2312" w:cs="仿宋_GB2312"/>
          <w:b w:val="0"/>
          <w:bCs w:val="0"/>
          <w:color w:val="auto"/>
          <w:kern w:val="2"/>
          <w:sz w:val="32"/>
          <w:szCs w:val="32"/>
          <w:highlight w:val="none"/>
          <w:lang w:val="en-US" w:eastAsia="zh-CN" w:bidi="ar-SA"/>
        </w:rPr>
        <w:t>。到</w:t>
      </w:r>
      <w:r>
        <w:rPr>
          <w:rFonts w:hint="eastAsia" w:ascii="仿宋_GB2312" w:hAnsi="仿宋_GB2312" w:eastAsia="仿宋_GB2312" w:cs="仿宋_GB2312"/>
          <w:b w:val="0"/>
          <w:bCs w:val="0"/>
          <w:color w:val="auto"/>
          <w:kern w:val="2"/>
          <w:sz w:val="32"/>
          <w:szCs w:val="32"/>
          <w:highlight w:val="none"/>
          <w:lang w:val="en-US" w:eastAsia="zh-CN" w:bidi="ar-SA"/>
        </w:rPr>
        <w:t>挂点村、网格责任区开展人居环境整治、基孔肯雅热疫情防控、植树、“百县千镇万村高质量发展工程”宣传、普法宣传、抗风防洪、慰问帮扶等日常工作，切实为群众办实事、解难事、做好事。</w:t>
      </w:r>
      <w:r>
        <w:rPr>
          <w:rFonts w:hint="eastAsia"/>
          <w:b/>
          <w:bCs w:val="0"/>
          <w:color w:val="auto"/>
          <w:sz w:val="32"/>
          <w:szCs w:val="32"/>
          <w:highlight w:val="none"/>
          <w:lang w:val="en-US" w:eastAsia="zh-CN"/>
        </w:rPr>
        <w:t>五是</w:t>
      </w:r>
      <w:r>
        <w:rPr>
          <w:rFonts w:hint="eastAsia"/>
          <w:b w:val="0"/>
          <w:bCs/>
          <w:color w:val="auto"/>
          <w:sz w:val="32"/>
          <w:szCs w:val="32"/>
          <w:highlight w:val="none"/>
          <w:lang w:val="en-US" w:eastAsia="zh-CN"/>
        </w:rPr>
        <w:t>积极推动乡村振兴工作，选派</w:t>
      </w:r>
      <w:r>
        <w:rPr>
          <w:rFonts w:hint="default" w:ascii="Times New Roman" w:hAnsi="Times New Roman" w:cs="Times New Roman"/>
          <w:b w:val="0"/>
          <w:bCs/>
          <w:color w:val="auto"/>
          <w:sz w:val="32"/>
          <w:szCs w:val="32"/>
          <w:highlight w:val="none"/>
          <w:lang w:val="en-US" w:eastAsia="zh-CN"/>
        </w:rPr>
        <w:t>1</w:t>
      </w:r>
      <w:r>
        <w:rPr>
          <w:rFonts w:hint="eastAsia"/>
          <w:b w:val="0"/>
          <w:bCs/>
          <w:color w:val="auto"/>
          <w:sz w:val="32"/>
          <w:szCs w:val="32"/>
          <w:highlight w:val="none"/>
          <w:lang w:val="en-US" w:eastAsia="zh-CN"/>
        </w:rPr>
        <w:t>名干部挂点村委会，积极配合村“两委”干部统筹推进乡村振兴各项任务落实。</w:t>
      </w:r>
    </w:p>
    <w:p w14:paraId="53144F4C">
      <w:pPr>
        <w:ind w:firstLine="520"/>
        <w:rPr>
          <w:rFonts w:hint="eastAsia" w:ascii="楷体" w:hAnsi="楷体" w:eastAsia="楷体" w:cs="楷体"/>
          <w:b w:val="0"/>
          <w:bCs/>
          <w:color w:val="auto"/>
          <w:sz w:val="26"/>
          <w:szCs w:val="26"/>
          <w:highlight w:val="none"/>
        </w:rPr>
      </w:pPr>
      <w:r>
        <w:rPr>
          <w:rFonts w:hint="eastAsia" w:ascii="楷体" w:hAnsi="楷体" w:eastAsia="楷体" w:cs="楷体"/>
          <w:b w:val="0"/>
          <w:bCs/>
          <w:color w:val="auto"/>
          <w:highlight w:val="none"/>
        </w:rPr>
        <w:t>（三）</w:t>
      </w:r>
      <w:bookmarkEnd w:id="7"/>
      <w:bookmarkEnd w:id="8"/>
      <w:r>
        <w:rPr>
          <w:rFonts w:hint="eastAsia" w:ascii="楷体" w:hAnsi="楷体" w:eastAsia="楷体" w:cs="楷体"/>
          <w:b w:val="0"/>
          <w:bCs/>
          <w:color w:val="auto"/>
          <w:highlight w:val="none"/>
        </w:rPr>
        <w:t>部门整体支出情况</w:t>
      </w:r>
    </w:p>
    <w:p w14:paraId="0F73FB7C">
      <w:pPr>
        <w:keepNext w:val="0"/>
        <w:keepLines w:val="0"/>
        <w:pageBreakBefore w:val="0"/>
        <w:widowControl w:val="0"/>
        <w:kinsoku/>
        <w:wordWrap/>
        <w:overflowPunct/>
        <w:topLinePunct w:val="0"/>
        <w:autoSpaceDE/>
        <w:bidi w:val="0"/>
        <w:spacing w:line="540" w:lineRule="exact"/>
        <w:ind w:firstLine="520"/>
        <w:textAlignment w:val="auto"/>
        <w:rPr>
          <w:rFonts w:hint="default" w:ascii="仿宋_GB2312" w:hAnsi="仿宋_GB2312" w:eastAsia="仿宋_GB2312" w:cs="仿宋_GB2312"/>
          <w:bCs/>
          <w:color w:val="auto"/>
          <w:sz w:val="32"/>
          <w:szCs w:val="32"/>
          <w:highlight w:val="none"/>
          <w:lang w:val="en-US" w:eastAsia="zh-CN" w:bidi="ar"/>
        </w:rPr>
      </w:pPr>
      <w:r>
        <w:rPr>
          <w:rFonts w:hint="default" w:ascii="Times New Roman" w:hAnsi="Times New Roman" w:cs="Times New Roman"/>
          <w:bCs/>
          <w:color w:val="auto"/>
          <w:sz w:val="32"/>
          <w:szCs w:val="32"/>
          <w:highlight w:val="none"/>
          <w:lang w:val="en-US" w:eastAsia="zh-CN" w:bidi="ar"/>
        </w:rPr>
        <w:t>2025</w:t>
      </w:r>
      <w:r>
        <w:rPr>
          <w:rFonts w:hint="eastAsia" w:ascii="仿宋_GB2312" w:hAnsi="仿宋_GB2312" w:cs="仿宋_GB2312"/>
          <w:bCs/>
          <w:color w:val="auto"/>
          <w:sz w:val="32"/>
          <w:szCs w:val="32"/>
          <w:highlight w:val="none"/>
          <w:lang w:val="en-US" w:eastAsia="zh-CN" w:bidi="ar"/>
        </w:rPr>
        <w:t>年本部门年初预算</w:t>
      </w:r>
      <w:r>
        <w:rPr>
          <w:rFonts w:hint="default" w:ascii="Times New Roman" w:hAnsi="Times New Roman" w:cs="Times New Roman"/>
          <w:bCs/>
          <w:color w:val="auto"/>
          <w:sz w:val="32"/>
          <w:szCs w:val="32"/>
          <w:highlight w:val="none"/>
          <w:lang w:val="en-US" w:eastAsia="zh-CN" w:bidi="ar"/>
        </w:rPr>
        <w:t>617</w:t>
      </w:r>
      <w:r>
        <w:rPr>
          <w:rFonts w:hint="eastAsia" w:ascii="仿宋_GB2312" w:hAnsi="仿宋_GB2312" w:cs="仿宋_GB2312"/>
          <w:bCs/>
          <w:color w:val="auto"/>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58</w:t>
      </w:r>
      <w:r>
        <w:rPr>
          <w:rFonts w:hint="eastAsia" w:ascii="仿宋_GB2312" w:hAnsi="仿宋_GB2312" w:cs="仿宋_GB2312"/>
          <w:bCs/>
          <w:color w:val="auto"/>
          <w:sz w:val="32"/>
          <w:szCs w:val="32"/>
          <w:highlight w:val="none"/>
          <w:lang w:val="en-US" w:eastAsia="zh-CN" w:bidi="ar"/>
        </w:rPr>
        <w:t>万元，实际收入</w:t>
      </w:r>
      <w:r>
        <w:rPr>
          <w:rFonts w:hint="default" w:ascii="Times New Roman" w:hAnsi="Times New Roman" w:cs="Times New Roman"/>
          <w:bCs/>
          <w:color w:val="auto"/>
          <w:sz w:val="32"/>
          <w:szCs w:val="32"/>
          <w:highlight w:val="none"/>
          <w:lang w:val="en-US" w:eastAsia="zh-CN" w:bidi="ar"/>
        </w:rPr>
        <w:t>683</w:t>
      </w:r>
      <w:r>
        <w:rPr>
          <w:rFonts w:hint="eastAsia" w:ascii="仿宋_GB2312" w:hAnsi="仿宋_GB2312" w:cs="仿宋_GB2312"/>
          <w:bCs/>
          <w:color w:val="auto"/>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89</w:t>
      </w:r>
      <w:r>
        <w:rPr>
          <w:rFonts w:hint="eastAsia" w:ascii="仿宋_GB2312" w:hAnsi="仿宋_GB2312" w:cs="仿宋_GB2312"/>
          <w:bCs/>
          <w:color w:val="auto"/>
          <w:sz w:val="32"/>
          <w:szCs w:val="32"/>
          <w:highlight w:val="none"/>
          <w:lang w:val="en-US" w:eastAsia="zh-CN" w:bidi="ar"/>
        </w:rPr>
        <w:t>万元，实际支出</w:t>
      </w:r>
      <w:r>
        <w:rPr>
          <w:rFonts w:hint="default" w:ascii="Times New Roman" w:hAnsi="Times New Roman" w:cs="Times New Roman"/>
          <w:bCs/>
          <w:color w:val="auto"/>
          <w:sz w:val="32"/>
          <w:szCs w:val="32"/>
          <w:highlight w:val="none"/>
          <w:lang w:val="en-US" w:eastAsia="zh-CN" w:bidi="ar"/>
        </w:rPr>
        <w:t>679</w:t>
      </w:r>
      <w:r>
        <w:rPr>
          <w:rFonts w:hint="eastAsia" w:ascii="仿宋_GB2312" w:hAnsi="仿宋_GB2312" w:cs="仿宋_GB2312"/>
          <w:bCs/>
          <w:color w:val="auto"/>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23</w:t>
      </w:r>
      <w:r>
        <w:rPr>
          <w:rFonts w:hint="eastAsia" w:ascii="仿宋_GB2312" w:hAnsi="仿宋_GB2312" w:cs="仿宋_GB2312"/>
          <w:bCs/>
          <w:color w:val="auto"/>
          <w:sz w:val="32"/>
          <w:szCs w:val="32"/>
          <w:highlight w:val="none"/>
          <w:lang w:val="en-US" w:eastAsia="zh-CN" w:bidi="ar"/>
        </w:rPr>
        <w:t>万元，资金支出率</w:t>
      </w:r>
      <w:r>
        <w:rPr>
          <w:rFonts w:hint="default" w:ascii="Times New Roman" w:hAnsi="Times New Roman" w:cs="Times New Roman"/>
          <w:bCs/>
          <w:color w:val="auto"/>
          <w:sz w:val="32"/>
          <w:szCs w:val="32"/>
          <w:highlight w:val="none"/>
          <w:lang w:val="en-US" w:eastAsia="zh-CN" w:bidi="ar"/>
        </w:rPr>
        <w:t>99</w:t>
      </w:r>
      <w:r>
        <w:rPr>
          <w:rFonts w:hint="eastAsia" w:ascii="仿宋_GB2312" w:hAnsi="仿宋_GB2312" w:cs="仿宋_GB2312"/>
          <w:bCs/>
          <w:color w:val="auto"/>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32%</w:t>
      </w:r>
      <w:r>
        <w:rPr>
          <w:rFonts w:hint="eastAsia" w:ascii="仿宋_GB2312" w:hAnsi="仿宋_GB2312" w:cs="仿宋_GB2312"/>
          <w:bCs/>
          <w:color w:val="auto"/>
          <w:sz w:val="32"/>
          <w:szCs w:val="32"/>
          <w:highlight w:val="none"/>
          <w:lang w:val="en-US" w:eastAsia="zh-CN" w:bidi="ar"/>
        </w:rPr>
        <w:t>。</w:t>
      </w:r>
    </w:p>
    <w:p w14:paraId="7493A0AA">
      <w:pPr>
        <w:ind w:firstLine="520"/>
        <w:rPr>
          <w:rFonts w:hint="default" w:ascii="仿宋_GB2312" w:hAnsi="仿宋_GB2312" w:cs="仿宋_GB2312"/>
          <w:bCs/>
          <w:color w:val="auto"/>
          <w:szCs w:val="32"/>
          <w:highlight w:val="none"/>
          <w:lang w:val="en-US" w:eastAsia="zh-CN" w:bidi="ar"/>
        </w:rPr>
      </w:pPr>
      <w:r>
        <w:rPr>
          <w:rFonts w:hint="default" w:ascii="Times New Roman" w:hAnsi="Times New Roman" w:cs="Times New Roman"/>
          <w:bCs/>
          <w:color w:val="auto"/>
          <w:sz w:val="32"/>
          <w:szCs w:val="32"/>
          <w:highlight w:val="none"/>
          <w:lang w:val="en-US" w:eastAsia="zh-CN" w:bidi="ar"/>
        </w:rPr>
        <w:t>2025</w:t>
      </w:r>
      <w:r>
        <w:rPr>
          <w:rFonts w:hint="eastAsia" w:ascii="仿宋_GB2312" w:hAnsi="仿宋_GB2312" w:cs="仿宋_GB2312"/>
          <w:bCs/>
          <w:color w:val="auto"/>
          <w:szCs w:val="32"/>
          <w:highlight w:val="none"/>
          <w:lang w:val="en-US" w:eastAsia="zh-CN" w:bidi="ar"/>
        </w:rPr>
        <w:t>年本部门财政拨款安排“三公”经费</w:t>
      </w:r>
      <w:r>
        <w:rPr>
          <w:rFonts w:hint="default" w:ascii="Times New Roman" w:hAnsi="Times New Roman" w:cs="Times New Roman"/>
          <w:bCs/>
          <w:color w:val="auto"/>
          <w:sz w:val="32"/>
          <w:szCs w:val="32"/>
          <w:highlight w:val="none"/>
          <w:lang w:val="en-US" w:eastAsia="zh-CN" w:bidi="ar"/>
        </w:rPr>
        <w:t>12</w:t>
      </w:r>
      <w:r>
        <w:rPr>
          <w:rFonts w:hint="eastAsia" w:ascii="仿宋_GB2312" w:hAnsi="仿宋_GB2312" w:cs="仿宋_GB2312"/>
          <w:bCs/>
          <w:color w:val="auto"/>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20</w:t>
      </w:r>
      <w:r>
        <w:rPr>
          <w:rFonts w:hint="eastAsia" w:ascii="仿宋_GB2312" w:hAnsi="仿宋_GB2312" w:cs="仿宋_GB2312"/>
          <w:bCs/>
          <w:color w:val="auto"/>
          <w:szCs w:val="32"/>
          <w:highlight w:val="none"/>
          <w:lang w:val="en-US" w:eastAsia="zh-CN" w:bidi="ar"/>
        </w:rPr>
        <w:t>万元，</w:t>
      </w:r>
      <w:r>
        <w:rPr>
          <w:rFonts w:hint="default" w:ascii="Times New Roman" w:hAnsi="Times New Roman" w:cs="Times New Roman"/>
          <w:bCs/>
          <w:color w:val="auto"/>
          <w:sz w:val="32"/>
          <w:szCs w:val="32"/>
          <w:highlight w:val="none"/>
          <w:lang w:val="en-US" w:eastAsia="zh-CN" w:bidi="ar"/>
        </w:rPr>
        <w:t>2025</w:t>
      </w:r>
      <w:r>
        <w:rPr>
          <w:rFonts w:hint="eastAsia" w:ascii="仿宋_GB2312" w:hAnsi="仿宋_GB2312" w:cs="仿宋_GB2312"/>
          <w:bCs/>
          <w:color w:val="auto"/>
          <w:szCs w:val="32"/>
          <w:highlight w:val="none"/>
          <w:lang w:val="en-US" w:eastAsia="zh-CN" w:bidi="ar"/>
        </w:rPr>
        <w:t>年决算数</w:t>
      </w:r>
      <w:r>
        <w:rPr>
          <w:rFonts w:hint="default" w:ascii="Times New Roman" w:hAnsi="Times New Roman" w:cs="Times New Roman"/>
          <w:bCs/>
          <w:color w:val="auto"/>
          <w:sz w:val="32"/>
          <w:szCs w:val="32"/>
          <w:highlight w:val="none"/>
          <w:lang w:val="en-US" w:eastAsia="zh-CN" w:bidi="ar"/>
        </w:rPr>
        <w:t>1</w:t>
      </w:r>
      <w:r>
        <w:rPr>
          <w:rFonts w:hint="eastAsia" w:ascii="仿宋_GB2312" w:hAnsi="仿宋_GB2312" w:cs="仿宋_GB2312"/>
          <w:bCs/>
          <w:color w:val="auto"/>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69</w:t>
      </w:r>
      <w:r>
        <w:rPr>
          <w:rFonts w:hint="eastAsia" w:ascii="仿宋_GB2312" w:hAnsi="仿宋_GB2312" w:cs="仿宋_GB2312"/>
          <w:bCs/>
          <w:color w:val="auto"/>
          <w:szCs w:val="32"/>
          <w:highlight w:val="none"/>
          <w:lang w:val="en-US" w:eastAsia="zh-CN" w:bidi="ar"/>
        </w:rPr>
        <w:t>万元，预算控制率</w:t>
      </w:r>
      <w:r>
        <w:rPr>
          <w:rFonts w:hint="default" w:ascii="Times New Roman" w:hAnsi="Times New Roman" w:cs="Times New Roman"/>
          <w:bCs/>
          <w:color w:val="auto"/>
          <w:sz w:val="32"/>
          <w:szCs w:val="32"/>
          <w:highlight w:val="none"/>
          <w:lang w:val="en-US" w:eastAsia="zh-CN" w:bidi="ar"/>
        </w:rPr>
        <w:t>12</w:t>
      </w:r>
      <w:r>
        <w:rPr>
          <w:rFonts w:hint="eastAsia" w:ascii="Times New Roman" w:hAnsi="Times New Roman" w:cs="Times New Roman"/>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85%</w:t>
      </w:r>
      <w:r>
        <w:rPr>
          <w:rFonts w:hint="eastAsia" w:ascii="仿宋_GB2312" w:hAnsi="仿宋_GB2312" w:cs="仿宋_GB2312"/>
          <w:bCs/>
          <w:color w:val="auto"/>
          <w:szCs w:val="32"/>
          <w:highlight w:val="none"/>
          <w:lang w:val="en-US" w:eastAsia="zh-CN" w:bidi="ar"/>
        </w:rPr>
        <w:t>。主要原因是加强公务用车和公务接待支出的管理，严格控制“三公”经费。</w:t>
      </w:r>
    </w:p>
    <w:p w14:paraId="688AA673">
      <w:pPr>
        <w:ind w:firstLine="520"/>
        <w:rPr>
          <w:rFonts w:hint="eastAsia" w:ascii="仿宋_GB2312" w:hAnsi="仿宋_GB2312" w:cs="仿宋_GB2312"/>
          <w:bCs/>
          <w:szCs w:val="32"/>
          <w:highlight w:val="none"/>
          <w:lang w:val="en-US" w:eastAsia="zh-CN" w:bidi="ar"/>
        </w:rPr>
      </w:pPr>
      <w:r>
        <w:rPr>
          <w:rFonts w:hint="default" w:ascii="Times New Roman" w:hAnsi="Times New Roman" w:cs="Times New Roman"/>
          <w:bCs/>
          <w:color w:val="auto"/>
          <w:sz w:val="32"/>
          <w:szCs w:val="32"/>
          <w:highlight w:val="none"/>
          <w:lang w:val="en-US" w:eastAsia="zh-CN" w:bidi="ar"/>
        </w:rPr>
        <w:t>2025</w:t>
      </w:r>
      <w:r>
        <w:rPr>
          <w:rFonts w:hint="eastAsia" w:ascii="仿宋_GB2312" w:hAnsi="仿宋_GB2312" w:cs="仿宋_GB2312"/>
          <w:bCs/>
          <w:color w:val="auto"/>
          <w:szCs w:val="32"/>
          <w:highlight w:val="none"/>
          <w:lang w:val="en-US" w:eastAsia="zh-CN" w:bidi="ar"/>
        </w:rPr>
        <w:t>年本部门财政预算拨款安排公用经费</w:t>
      </w:r>
      <w:r>
        <w:rPr>
          <w:rFonts w:hint="default" w:ascii="Times New Roman" w:hAnsi="Times New Roman" w:cs="Times New Roman"/>
          <w:bCs/>
          <w:color w:val="auto"/>
          <w:sz w:val="32"/>
          <w:szCs w:val="32"/>
          <w:highlight w:val="none"/>
          <w:lang w:val="en-US" w:eastAsia="zh-CN" w:bidi="ar"/>
        </w:rPr>
        <w:t>24</w:t>
      </w:r>
      <w:r>
        <w:rPr>
          <w:rFonts w:hint="eastAsia" w:cs="Times New Roman"/>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23</w:t>
      </w:r>
      <w:r>
        <w:rPr>
          <w:rFonts w:hint="eastAsia" w:ascii="仿宋_GB2312" w:hAnsi="仿宋_GB2312" w:cs="仿宋_GB2312"/>
          <w:bCs/>
          <w:color w:val="auto"/>
          <w:szCs w:val="32"/>
          <w:highlight w:val="none"/>
          <w:lang w:val="en-US" w:eastAsia="zh-CN" w:bidi="ar"/>
        </w:rPr>
        <w:t>万元，实际支出</w:t>
      </w:r>
      <w:r>
        <w:rPr>
          <w:rFonts w:hint="default" w:ascii="Times New Roman" w:hAnsi="Times New Roman" w:cs="Times New Roman"/>
          <w:bCs/>
          <w:color w:val="auto"/>
          <w:sz w:val="32"/>
          <w:szCs w:val="32"/>
          <w:highlight w:val="none"/>
          <w:lang w:val="en-US" w:eastAsia="zh-CN" w:bidi="ar"/>
        </w:rPr>
        <w:t>23</w:t>
      </w:r>
      <w:r>
        <w:rPr>
          <w:rFonts w:hint="eastAsia" w:cs="Times New Roman"/>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36</w:t>
      </w:r>
      <w:r>
        <w:rPr>
          <w:rFonts w:hint="eastAsia" w:ascii="仿宋_GB2312" w:hAnsi="仿宋_GB2312" w:cs="仿宋_GB2312"/>
          <w:bCs/>
          <w:color w:val="auto"/>
          <w:szCs w:val="32"/>
          <w:highlight w:val="none"/>
          <w:lang w:val="en-US" w:eastAsia="zh-CN" w:bidi="ar"/>
        </w:rPr>
        <w:t>万元，预算控制率</w:t>
      </w:r>
      <w:r>
        <w:rPr>
          <w:rFonts w:hint="default" w:ascii="Times New Roman" w:hAnsi="Times New Roman" w:cs="Times New Roman"/>
          <w:bCs/>
          <w:color w:val="auto"/>
          <w:sz w:val="32"/>
          <w:szCs w:val="32"/>
          <w:highlight w:val="none"/>
          <w:lang w:val="en-US" w:eastAsia="zh-CN" w:bidi="ar"/>
        </w:rPr>
        <w:t>96</w:t>
      </w:r>
      <w:r>
        <w:rPr>
          <w:rFonts w:hint="eastAsia" w:cs="Times New Roman"/>
          <w:bCs/>
          <w:color w:val="auto"/>
          <w:sz w:val="32"/>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41%</w:t>
      </w:r>
      <w:r>
        <w:rPr>
          <w:rFonts w:hint="eastAsia" w:ascii="仿宋_GB2312" w:hAnsi="仿宋_GB2312" w:cs="仿宋_GB2312"/>
          <w:bCs/>
          <w:color w:val="auto"/>
          <w:szCs w:val="32"/>
          <w:highlight w:val="none"/>
          <w:lang w:val="en-US" w:eastAsia="zh-CN" w:bidi="ar"/>
        </w:rPr>
        <w:t>。主要原因是加强预算管理，合理安排支出</w:t>
      </w:r>
      <w:r>
        <w:rPr>
          <w:rFonts w:hint="eastAsia" w:ascii="仿宋_GB2312" w:hAnsi="仿宋_GB2312" w:cs="仿宋_GB2312"/>
          <w:bCs/>
          <w:szCs w:val="32"/>
          <w:highlight w:val="none"/>
          <w:lang w:val="en-US" w:eastAsia="zh-CN" w:bidi="ar"/>
        </w:rPr>
        <w:t>。</w:t>
      </w:r>
    </w:p>
    <w:p w14:paraId="6CA1645E">
      <w:pPr>
        <w:ind w:firstLine="520"/>
        <w:rPr>
          <w:rFonts w:hint="eastAsia" w:ascii="楷体" w:hAnsi="楷体" w:eastAsia="楷体" w:cs="楷体"/>
          <w:b w:val="0"/>
          <w:bCs/>
          <w:color w:val="auto"/>
          <w:highlight w:val="none"/>
        </w:rPr>
      </w:pPr>
      <w:r>
        <w:rPr>
          <w:rFonts w:hint="eastAsia" w:ascii="楷体" w:hAnsi="楷体" w:eastAsia="楷体" w:cs="楷体"/>
          <w:b w:val="0"/>
          <w:bCs/>
          <w:color w:val="auto"/>
          <w:highlight w:val="none"/>
        </w:rPr>
        <w:t>（四）部门整体支出绩效目标</w:t>
      </w:r>
    </w:p>
    <w:p w14:paraId="2A950054">
      <w:pPr>
        <w:keepNext w:val="0"/>
        <w:keepLines w:val="0"/>
        <w:pageBreakBefore w:val="0"/>
        <w:widowControl w:val="0"/>
        <w:kinsoku/>
        <w:wordWrap/>
        <w:overflowPunct/>
        <w:topLinePunct w:val="0"/>
        <w:autoSpaceDE/>
        <w:bidi w:val="0"/>
        <w:spacing w:line="540" w:lineRule="exact"/>
        <w:ind w:firstLine="616" w:firstLineChars="200"/>
        <w:textAlignment w:val="auto"/>
        <w:rPr>
          <w:rFonts w:hint="eastAsia"/>
          <w:b/>
          <w:color w:val="auto"/>
          <w:highlight w:val="none"/>
        </w:rPr>
      </w:pPr>
      <w:r>
        <w:rPr>
          <w:rFonts w:hint="eastAsia"/>
          <w:b/>
          <w:bCs w:val="0"/>
          <w:color w:val="auto"/>
          <w:sz w:val="32"/>
          <w:szCs w:val="32"/>
          <w:highlight w:val="none"/>
          <w:lang w:val="en-US" w:eastAsia="zh-CN"/>
        </w:rPr>
        <w:t>一是</w:t>
      </w:r>
      <w:r>
        <w:rPr>
          <w:rFonts w:hint="eastAsia"/>
          <w:b w:val="0"/>
          <w:bCs/>
          <w:color w:val="auto"/>
          <w:sz w:val="32"/>
          <w:szCs w:val="32"/>
          <w:highlight w:val="none"/>
          <w:lang w:val="en-US" w:eastAsia="zh-CN"/>
        </w:rPr>
        <w:t>完成了</w:t>
      </w:r>
      <w:r>
        <w:rPr>
          <w:rFonts w:hint="default" w:ascii="Times New Roman" w:hAnsi="Times New Roman" w:cs="Times New Roman"/>
          <w:b w:val="0"/>
          <w:bCs/>
          <w:color w:val="auto"/>
          <w:sz w:val="32"/>
          <w:szCs w:val="32"/>
          <w:highlight w:val="none"/>
          <w:lang w:val="en-US" w:eastAsia="zh-CN"/>
        </w:rPr>
        <w:t>2025</w:t>
      </w:r>
      <w:r>
        <w:rPr>
          <w:rFonts w:hint="eastAsia" w:ascii="Times New Roman" w:hAnsi="Times New Roman" w:cs="Times New Roman"/>
          <w:b w:val="0"/>
          <w:bCs/>
          <w:color w:val="auto"/>
          <w:sz w:val="32"/>
          <w:szCs w:val="32"/>
          <w:highlight w:val="none"/>
          <w:lang w:val="en-US" w:eastAsia="zh-CN"/>
        </w:rPr>
        <w:t>年</w:t>
      </w:r>
      <w:r>
        <w:rPr>
          <w:rFonts w:hint="eastAsia"/>
          <w:b w:val="0"/>
          <w:bCs/>
          <w:color w:val="auto"/>
          <w:sz w:val="32"/>
          <w:szCs w:val="32"/>
          <w:highlight w:val="none"/>
          <w:lang w:val="en-US" w:eastAsia="zh-CN"/>
        </w:rPr>
        <w:t>度审计项目工作，并出具了相应的审计报告；</w:t>
      </w:r>
      <w:r>
        <w:rPr>
          <w:rFonts w:hint="eastAsia"/>
          <w:b/>
          <w:bCs w:val="0"/>
          <w:color w:val="auto"/>
          <w:sz w:val="32"/>
          <w:szCs w:val="32"/>
          <w:highlight w:val="none"/>
          <w:lang w:val="en-US" w:eastAsia="zh-CN"/>
        </w:rPr>
        <w:t>二是</w:t>
      </w:r>
      <w:r>
        <w:rPr>
          <w:rFonts w:hint="eastAsia"/>
          <w:b w:val="0"/>
          <w:bCs/>
          <w:color w:val="auto"/>
          <w:sz w:val="32"/>
          <w:szCs w:val="32"/>
          <w:highlight w:val="none"/>
          <w:lang w:val="en-US" w:eastAsia="zh-CN"/>
        </w:rPr>
        <w:t>抓好</w:t>
      </w:r>
      <w:r>
        <w:rPr>
          <w:rFonts w:hint="default" w:ascii="Times New Roman" w:hAnsi="Times New Roman" w:cs="Times New Roman"/>
          <w:b w:val="0"/>
          <w:bCs/>
          <w:color w:val="auto"/>
          <w:sz w:val="32"/>
          <w:szCs w:val="32"/>
          <w:highlight w:val="none"/>
          <w:lang w:val="en-US" w:eastAsia="zh-CN"/>
        </w:rPr>
        <w:t>2025</w:t>
      </w:r>
      <w:r>
        <w:rPr>
          <w:rFonts w:hint="eastAsia"/>
          <w:b w:val="0"/>
          <w:bCs/>
          <w:color w:val="auto"/>
          <w:sz w:val="32"/>
          <w:szCs w:val="32"/>
          <w:highlight w:val="none"/>
          <w:lang w:val="en-US" w:eastAsia="zh-CN"/>
        </w:rPr>
        <w:t>年度上级交办、本级审计发现问题的审计整改工作,进一步加强审计查出问题的整改成效，</w:t>
      </w:r>
      <w:r>
        <w:rPr>
          <w:rFonts w:hint="eastAsia" w:ascii="仿宋_GB2312" w:hAnsi="仿宋_GB2312" w:eastAsia="仿宋_GB2312" w:cs="仿宋_GB2312"/>
          <w:color w:val="auto"/>
          <w:kern w:val="2"/>
          <w:sz w:val="32"/>
          <w:szCs w:val="32"/>
          <w:highlight w:val="none"/>
          <w:lang w:val="en-US" w:eastAsia="zh-CN" w:bidi="ar-SA"/>
        </w:rPr>
        <w:t>切实发挥审计工作“治已病、防未病”的重要作用</w:t>
      </w:r>
      <w:r>
        <w:rPr>
          <w:rFonts w:hint="eastAsia" w:ascii="仿宋_GB2312" w:hAnsi="仿宋_GB2312" w:cs="仿宋_GB2312"/>
          <w:color w:val="auto"/>
          <w:kern w:val="2"/>
          <w:sz w:val="32"/>
          <w:szCs w:val="32"/>
          <w:highlight w:val="none"/>
          <w:lang w:val="en-US" w:eastAsia="zh-CN" w:bidi="ar-SA"/>
        </w:rPr>
        <w:t>。</w:t>
      </w:r>
      <w:r>
        <w:rPr>
          <w:rFonts w:hint="eastAsia" w:ascii="仿宋_GB2312" w:hAnsi="仿宋_GB2312" w:eastAsia="仿宋_GB2312" w:cs="仿宋_GB2312"/>
          <w:b w:val="0"/>
          <w:bCs w:val="0"/>
          <w:color w:val="auto"/>
          <w:kern w:val="2"/>
          <w:sz w:val="32"/>
          <w:szCs w:val="32"/>
          <w:highlight w:val="none"/>
          <w:lang w:eastAsia="zh-CN" w:bidi="ar-SA"/>
        </w:rPr>
        <w:t>我局</w:t>
      </w:r>
      <w:r>
        <w:rPr>
          <w:rFonts w:hint="default" w:ascii="Times New Roman" w:hAnsi="Times New Roman" w:eastAsia="仿宋_GB2312" w:cs="Times New Roman"/>
          <w:b w:val="0"/>
          <w:bCs w:val="0"/>
          <w:color w:val="auto"/>
          <w:kern w:val="2"/>
          <w:sz w:val="32"/>
          <w:szCs w:val="32"/>
          <w:highlight w:val="none"/>
          <w:lang w:val="en-US" w:eastAsia="zh-CN" w:bidi="ar-SA"/>
        </w:rPr>
        <w:t>2025</w:t>
      </w:r>
      <w:r>
        <w:rPr>
          <w:rFonts w:hint="eastAsia" w:ascii="仿宋_GB2312" w:hAnsi="仿宋_GB2312" w:eastAsia="仿宋_GB2312" w:cs="仿宋_GB2312"/>
          <w:b w:val="0"/>
          <w:bCs w:val="0"/>
          <w:color w:val="auto"/>
          <w:kern w:val="2"/>
          <w:sz w:val="32"/>
          <w:szCs w:val="32"/>
          <w:highlight w:val="none"/>
          <w:lang w:eastAsia="zh-CN" w:bidi="ar-SA"/>
        </w:rPr>
        <w:t>年度向县人大常委会汇报的《审计工作报告》反映的要求</w:t>
      </w:r>
      <w:r>
        <w:rPr>
          <w:rFonts w:hint="default" w:ascii="Times New Roman" w:hAnsi="Times New Roman" w:eastAsia="仿宋_GB2312" w:cs="Times New Roman"/>
          <w:b w:val="0"/>
          <w:bCs w:val="0"/>
          <w:color w:val="auto"/>
          <w:kern w:val="2"/>
          <w:sz w:val="32"/>
          <w:szCs w:val="32"/>
          <w:highlight w:val="none"/>
          <w:lang w:eastAsia="zh-CN" w:bidi="ar-SA"/>
        </w:rPr>
        <w:t>60</w:t>
      </w:r>
      <w:r>
        <w:rPr>
          <w:rFonts w:hint="eastAsia" w:ascii="仿宋_GB2312" w:hAnsi="仿宋_GB2312" w:eastAsia="仿宋_GB2312" w:cs="仿宋_GB2312"/>
          <w:b w:val="0"/>
          <w:bCs w:val="0"/>
          <w:color w:val="auto"/>
          <w:kern w:val="2"/>
          <w:sz w:val="32"/>
          <w:szCs w:val="32"/>
          <w:highlight w:val="none"/>
          <w:lang w:eastAsia="zh-CN" w:bidi="ar-SA"/>
        </w:rPr>
        <w:t>天内完成整改的立行立改问题</w:t>
      </w:r>
      <w:r>
        <w:rPr>
          <w:rFonts w:hint="default" w:ascii="Times New Roman" w:hAnsi="Times New Roman" w:eastAsia="仿宋_GB2312" w:cs="Times New Roman"/>
          <w:b w:val="0"/>
          <w:bCs w:val="0"/>
          <w:color w:val="auto"/>
          <w:kern w:val="2"/>
          <w:sz w:val="32"/>
          <w:szCs w:val="32"/>
          <w:highlight w:val="none"/>
          <w:lang w:eastAsia="zh-CN" w:bidi="ar-SA"/>
        </w:rPr>
        <w:t>116</w:t>
      </w:r>
      <w:r>
        <w:rPr>
          <w:rFonts w:hint="eastAsia" w:ascii="仿宋_GB2312" w:hAnsi="仿宋_GB2312" w:eastAsia="仿宋_GB2312" w:cs="仿宋_GB2312"/>
          <w:b w:val="0"/>
          <w:bCs w:val="0"/>
          <w:color w:val="auto"/>
          <w:kern w:val="2"/>
          <w:sz w:val="32"/>
          <w:szCs w:val="32"/>
          <w:highlight w:val="none"/>
          <w:lang w:eastAsia="zh-CN" w:bidi="ar-SA"/>
        </w:rPr>
        <w:t>个，已整改到位</w:t>
      </w:r>
      <w:r>
        <w:rPr>
          <w:rFonts w:hint="default" w:ascii="Times New Roman" w:hAnsi="Times New Roman" w:eastAsia="仿宋_GB2312" w:cs="Times New Roman"/>
          <w:b w:val="0"/>
          <w:bCs w:val="0"/>
          <w:color w:val="auto"/>
          <w:kern w:val="2"/>
          <w:sz w:val="32"/>
          <w:szCs w:val="32"/>
          <w:highlight w:val="none"/>
          <w:lang w:eastAsia="zh-CN" w:bidi="ar-SA"/>
        </w:rPr>
        <w:t>103</w:t>
      </w:r>
      <w:r>
        <w:rPr>
          <w:rFonts w:hint="eastAsia" w:ascii="仿宋_GB2312" w:hAnsi="仿宋_GB2312" w:eastAsia="仿宋_GB2312" w:cs="仿宋_GB2312"/>
          <w:b w:val="0"/>
          <w:bCs w:val="0"/>
          <w:color w:val="auto"/>
          <w:kern w:val="2"/>
          <w:sz w:val="32"/>
          <w:szCs w:val="32"/>
          <w:highlight w:val="none"/>
          <w:lang w:eastAsia="zh-CN" w:bidi="ar-SA"/>
        </w:rPr>
        <w:t>个，整改到位率</w:t>
      </w:r>
      <w:r>
        <w:rPr>
          <w:rFonts w:hint="default" w:ascii="Times New Roman" w:hAnsi="Times New Roman" w:eastAsia="仿宋_GB2312" w:cs="Times New Roman"/>
          <w:b w:val="0"/>
          <w:bCs w:val="0"/>
          <w:color w:val="auto"/>
          <w:kern w:val="2"/>
          <w:sz w:val="32"/>
          <w:szCs w:val="32"/>
          <w:highlight w:val="none"/>
          <w:lang w:eastAsia="zh-CN" w:bidi="ar-SA"/>
        </w:rPr>
        <w:t>88</w:t>
      </w:r>
      <w:r>
        <w:rPr>
          <w:rFonts w:hint="eastAsia" w:ascii="仿宋_GB2312" w:hAnsi="仿宋_GB2312" w:eastAsia="仿宋_GB2312" w:cs="仿宋_GB2312"/>
          <w:b w:val="0"/>
          <w:bCs w:val="0"/>
          <w:color w:val="auto"/>
          <w:kern w:val="2"/>
          <w:sz w:val="32"/>
          <w:szCs w:val="32"/>
          <w:highlight w:val="none"/>
          <w:lang w:eastAsia="zh-CN" w:bidi="ar-SA"/>
        </w:rPr>
        <w:t>.</w:t>
      </w:r>
      <w:r>
        <w:rPr>
          <w:rFonts w:hint="default" w:ascii="Times New Roman" w:hAnsi="Times New Roman" w:eastAsia="仿宋_GB2312" w:cs="Times New Roman"/>
          <w:b w:val="0"/>
          <w:bCs w:val="0"/>
          <w:color w:val="auto"/>
          <w:kern w:val="2"/>
          <w:sz w:val="32"/>
          <w:szCs w:val="32"/>
          <w:highlight w:val="none"/>
          <w:lang w:eastAsia="zh-CN" w:bidi="ar-SA"/>
        </w:rPr>
        <w:t>79</w:t>
      </w:r>
      <w:r>
        <w:rPr>
          <w:rFonts w:hint="eastAsia" w:ascii="仿宋_GB2312" w:hAnsi="仿宋_GB2312" w:eastAsia="仿宋_GB2312" w:cs="仿宋_GB2312"/>
          <w:b w:val="0"/>
          <w:bCs w:val="0"/>
          <w:color w:val="auto"/>
          <w:kern w:val="2"/>
          <w:sz w:val="32"/>
          <w:szCs w:val="32"/>
          <w:highlight w:val="none"/>
          <w:lang w:eastAsia="zh-CN" w:bidi="ar-SA"/>
        </w:rPr>
        <w:t>%</w:t>
      </w:r>
      <w:r>
        <w:rPr>
          <w:rFonts w:hint="eastAsia"/>
          <w:b w:val="0"/>
          <w:bCs/>
          <w:color w:val="auto"/>
          <w:sz w:val="32"/>
          <w:szCs w:val="32"/>
          <w:highlight w:val="none"/>
          <w:lang w:val="en-US" w:eastAsia="zh-CN"/>
        </w:rPr>
        <w:t>；</w:t>
      </w:r>
      <w:r>
        <w:rPr>
          <w:rFonts w:hint="eastAsia"/>
          <w:b/>
          <w:bCs w:val="0"/>
          <w:color w:val="auto"/>
          <w:sz w:val="32"/>
          <w:szCs w:val="32"/>
          <w:highlight w:val="none"/>
          <w:lang w:val="en-US" w:eastAsia="zh-CN"/>
        </w:rPr>
        <w:t>三是</w:t>
      </w:r>
      <w:r>
        <w:rPr>
          <w:rFonts w:hint="eastAsia"/>
          <w:b w:val="0"/>
          <w:bCs/>
          <w:color w:val="auto"/>
          <w:sz w:val="32"/>
          <w:szCs w:val="32"/>
          <w:highlight w:val="none"/>
          <w:lang w:val="en-US" w:eastAsia="zh-CN"/>
        </w:rPr>
        <w:t>从严从实抓好机关党建、廉政工作，强化党建引领。</w:t>
      </w:r>
      <w:r>
        <w:rPr>
          <w:rFonts w:hint="eastAsia" w:ascii="仿宋_GB2312" w:hAnsi="仿宋_GB2312" w:eastAsia="仿宋_GB2312" w:cs="仿宋_GB2312"/>
          <w:color w:val="auto"/>
          <w:kern w:val="2"/>
          <w:sz w:val="32"/>
          <w:szCs w:val="32"/>
          <w:highlight w:val="none"/>
          <w:lang w:val="en-US" w:eastAsia="zh-CN" w:bidi="ar-SA"/>
        </w:rPr>
        <w:t>通过组织观看警示教育片、主题党日、上专题党课等方式</w:t>
      </w:r>
      <w:r>
        <w:rPr>
          <w:rFonts w:hint="eastAsia" w:ascii="仿宋_GB2312" w:hAnsi="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增强了全体党员干部廉洁从政意识和拒腐防变能力，进一步形成“依法审计、廉洁审计”的优良作</w:t>
      </w:r>
      <w:r>
        <w:rPr>
          <w:rFonts w:hint="eastAsia" w:ascii="仿宋_GB2312" w:hAnsi="仿宋_GB2312" w:cs="仿宋_GB2312"/>
          <w:color w:val="auto"/>
          <w:kern w:val="2"/>
          <w:sz w:val="32"/>
          <w:szCs w:val="32"/>
          <w:highlight w:val="none"/>
          <w:lang w:val="en-US" w:eastAsia="zh-CN" w:bidi="ar-SA"/>
        </w:rPr>
        <w:t>风。</w:t>
      </w:r>
      <w:r>
        <w:rPr>
          <w:rFonts w:hint="eastAsia"/>
          <w:b/>
          <w:bCs w:val="0"/>
          <w:color w:val="auto"/>
          <w:sz w:val="32"/>
          <w:szCs w:val="32"/>
          <w:highlight w:val="none"/>
          <w:lang w:val="en-US" w:eastAsia="zh-CN"/>
        </w:rPr>
        <w:t>四是</w:t>
      </w:r>
      <w:r>
        <w:rPr>
          <w:rFonts w:hint="eastAsia" w:ascii="仿宋_GB2312" w:hAnsi="仿宋_GB2312" w:eastAsia="仿宋_GB2312" w:cs="仿宋_GB2312"/>
          <w:b w:val="0"/>
          <w:bCs w:val="0"/>
          <w:color w:val="auto"/>
          <w:kern w:val="2"/>
          <w:sz w:val="32"/>
          <w:szCs w:val="32"/>
          <w:highlight w:val="none"/>
          <w:lang w:val="en-US" w:eastAsia="zh-CN" w:bidi="ar-SA"/>
        </w:rPr>
        <w:t>积极开展“四个万家”普遍联系群众活动和“心连心”共富裕党员干部密切联系服务群众工作，共组织开展集中帮扶走访慰问</w:t>
      </w:r>
      <w:r>
        <w:rPr>
          <w:rFonts w:hint="default" w:ascii="Times New Roman" w:hAnsi="Times New Roman" w:eastAsia="仿宋_GB2312" w:cs="Times New Roman"/>
          <w:b w:val="0"/>
          <w:bCs w:val="0"/>
          <w:color w:val="auto"/>
          <w:kern w:val="2"/>
          <w:sz w:val="32"/>
          <w:szCs w:val="32"/>
          <w:highlight w:val="none"/>
          <w:lang w:val="en-US" w:eastAsia="zh-CN" w:bidi="ar-SA"/>
        </w:rPr>
        <w:t>6</w:t>
      </w:r>
      <w:r>
        <w:rPr>
          <w:rFonts w:hint="eastAsia" w:ascii="仿宋_GB2312" w:hAnsi="仿宋_GB2312" w:eastAsia="仿宋_GB2312" w:cs="仿宋_GB2312"/>
          <w:b w:val="0"/>
          <w:bCs w:val="0"/>
          <w:color w:val="auto"/>
          <w:kern w:val="2"/>
          <w:sz w:val="32"/>
          <w:szCs w:val="32"/>
          <w:highlight w:val="none"/>
          <w:lang w:val="en-US" w:eastAsia="zh-CN" w:bidi="ar-SA"/>
        </w:rPr>
        <w:t>次</w:t>
      </w:r>
      <w:r>
        <w:rPr>
          <w:rFonts w:hint="eastAsia" w:ascii="仿宋_GB2312" w:hAnsi="仿宋_GB2312" w:cs="仿宋_GB2312"/>
          <w:b w:val="0"/>
          <w:bCs w:val="0"/>
          <w:color w:val="auto"/>
          <w:kern w:val="2"/>
          <w:sz w:val="32"/>
          <w:szCs w:val="32"/>
          <w:highlight w:val="none"/>
          <w:lang w:val="en-US" w:eastAsia="zh-CN" w:bidi="ar-SA"/>
        </w:rPr>
        <w:t>。</w:t>
      </w:r>
      <w:r>
        <w:rPr>
          <w:rFonts w:hint="eastAsia" w:ascii="仿宋_GB2312" w:hAnsi="仿宋_GB2312" w:eastAsia="仿宋_GB2312" w:cs="仿宋_GB2312"/>
          <w:b w:val="0"/>
          <w:bCs w:val="0"/>
          <w:color w:val="auto"/>
          <w:kern w:val="2"/>
          <w:sz w:val="32"/>
          <w:szCs w:val="32"/>
          <w:highlight w:val="none"/>
          <w:lang w:val="en-US" w:eastAsia="zh-CN" w:bidi="ar-SA"/>
        </w:rPr>
        <w:t>超强台风“桦加沙”过后，积极走访挂点学校收集困难学生家中受灾情况并上报相关部门</w:t>
      </w:r>
      <w:r>
        <w:rPr>
          <w:rFonts w:hint="eastAsia" w:ascii="仿宋_GB2312" w:hAnsi="仿宋_GB2312" w:cs="仿宋_GB2312"/>
          <w:b w:val="0"/>
          <w:bCs w:val="0"/>
          <w:color w:val="auto"/>
          <w:kern w:val="2"/>
          <w:sz w:val="32"/>
          <w:szCs w:val="32"/>
          <w:highlight w:val="none"/>
          <w:lang w:val="en-US" w:eastAsia="zh-CN" w:bidi="ar-SA"/>
        </w:rPr>
        <w:t>。到</w:t>
      </w:r>
      <w:r>
        <w:rPr>
          <w:rFonts w:hint="eastAsia" w:ascii="仿宋_GB2312" w:hAnsi="仿宋_GB2312" w:eastAsia="仿宋_GB2312" w:cs="仿宋_GB2312"/>
          <w:b w:val="0"/>
          <w:bCs w:val="0"/>
          <w:color w:val="auto"/>
          <w:kern w:val="2"/>
          <w:sz w:val="32"/>
          <w:szCs w:val="32"/>
          <w:highlight w:val="none"/>
          <w:lang w:val="en-US" w:eastAsia="zh-CN" w:bidi="ar-SA"/>
        </w:rPr>
        <w:t>挂点村、网格责任区开展人居环境整治、基孔肯雅热疫情防控、植树、“百县千镇万村高质量发展工程”宣传、普法宣传、抗风防洪、慰问帮扶等日常工作，切实为群众办实事、解难事、做好事。</w:t>
      </w:r>
      <w:r>
        <w:rPr>
          <w:rFonts w:hint="eastAsia"/>
          <w:b/>
          <w:bCs w:val="0"/>
          <w:color w:val="auto"/>
          <w:sz w:val="32"/>
          <w:szCs w:val="32"/>
          <w:highlight w:val="none"/>
          <w:lang w:val="en-US" w:eastAsia="zh-CN"/>
        </w:rPr>
        <w:t>五是</w:t>
      </w:r>
      <w:r>
        <w:rPr>
          <w:rFonts w:hint="eastAsia"/>
          <w:b w:val="0"/>
          <w:bCs/>
          <w:color w:val="auto"/>
          <w:sz w:val="32"/>
          <w:szCs w:val="32"/>
          <w:highlight w:val="none"/>
          <w:lang w:val="en-US" w:eastAsia="zh-CN"/>
        </w:rPr>
        <w:t>积极推动乡村振兴工作，选派</w:t>
      </w:r>
      <w:r>
        <w:rPr>
          <w:rFonts w:hint="default" w:ascii="Times New Roman" w:hAnsi="Times New Roman" w:cs="Times New Roman"/>
          <w:b w:val="0"/>
          <w:bCs/>
          <w:color w:val="auto"/>
          <w:sz w:val="32"/>
          <w:szCs w:val="32"/>
          <w:highlight w:val="none"/>
          <w:lang w:val="en-US" w:eastAsia="zh-CN"/>
        </w:rPr>
        <w:t>1</w:t>
      </w:r>
      <w:r>
        <w:rPr>
          <w:rFonts w:hint="eastAsia"/>
          <w:b w:val="0"/>
          <w:bCs/>
          <w:color w:val="auto"/>
          <w:sz w:val="32"/>
          <w:szCs w:val="32"/>
          <w:highlight w:val="none"/>
          <w:lang w:val="en-US" w:eastAsia="zh-CN"/>
        </w:rPr>
        <w:t>名干部挂点村委会，积极配合村“两委”干部统筹推进乡村振兴各项任务落实。</w:t>
      </w:r>
    </w:p>
    <w:p w14:paraId="3489A1E1">
      <w:pPr>
        <w:ind w:firstLine="616" w:firstLineChars="200"/>
        <w:rPr>
          <w:rFonts w:ascii="方正小标宋简体" w:eastAsia="方正小标宋简体"/>
          <w:color w:val="auto"/>
          <w:highlight w:val="none"/>
        </w:rPr>
      </w:pPr>
      <w:bookmarkStart w:id="9" w:name="_Toc22180"/>
      <w:bookmarkStart w:id="10" w:name="_Toc4514_WPSOffice_Level1"/>
      <w:r>
        <w:rPr>
          <w:rFonts w:hint="eastAsia" w:ascii="方正小标宋简体" w:eastAsia="方正小标宋简体"/>
          <w:color w:val="auto"/>
          <w:highlight w:val="none"/>
        </w:rPr>
        <w:t>二、绩效自评结论</w:t>
      </w:r>
      <w:bookmarkEnd w:id="9"/>
      <w:bookmarkEnd w:id="10"/>
    </w:p>
    <w:p w14:paraId="38D1DAFD">
      <w:pPr>
        <w:keepNext w:val="0"/>
        <w:keepLines w:val="0"/>
        <w:pageBreakBefore w:val="0"/>
        <w:widowControl w:val="0"/>
        <w:kinsoku/>
        <w:wordWrap/>
        <w:overflowPunct/>
        <w:topLinePunct w:val="0"/>
        <w:autoSpaceDE/>
        <w:bidi w:val="0"/>
        <w:spacing w:line="540" w:lineRule="exact"/>
        <w:ind w:firstLine="616" w:firstLineChars="200"/>
        <w:textAlignment w:val="auto"/>
        <w:rPr>
          <w:color w:val="auto"/>
          <w:highlight w:val="none"/>
        </w:rPr>
      </w:pPr>
      <w:r>
        <w:rPr>
          <w:rFonts w:hint="eastAsia" w:ascii="仿宋_GB2312" w:hAnsi="华文仿宋" w:cs="仿宋_GB2312"/>
          <w:color w:val="auto"/>
          <w:sz w:val="32"/>
          <w:szCs w:val="32"/>
          <w:highlight w:val="none"/>
        </w:rPr>
        <w:t>预算编制、预算执行和资金使用效益等方面，我局整体支出及运行情况较好，</w:t>
      </w:r>
      <w:r>
        <w:rPr>
          <w:rFonts w:hint="default" w:ascii="Times New Roman" w:hAnsi="Times New Roman" w:cs="Times New Roman"/>
          <w:color w:val="auto"/>
          <w:sz w:val="32"/>
          <w:szCs w:val="32"/>
          <w:highlight w:val="none"/>
        </w:rPr>
        <w:t>202</w:t>
      </w:r>
      <w:r>
        <w:rPr>
          <w:rFonts w:hint="default" w:ascii="Times New Roman" w:hAnsi="Times New Roman" w:cs="Times New Roman"/>
          <w:color w:val="auto"/>
          <w:sz w:val="32"/>
          <w:szCs w:val="32"/>
          <w:highlight w:val="none"/>
          <w:lang w:val="en-US" w:eastAsia="zh-CN"/>
        </w:rPr>
        <w:t>5</w:t>
      </w:r>
      <w:r>
        <w:rPr>
          <w:rFonts w:hint="eastAsia" w:ascii="仿宋_GB2312" w:hAnsi="华文仿宋" w:cs="仿宋_GB2312"/>
          <w:color w:val="auto"/>
          <w:sz w:val="32"/>
          <w:szCs w:val="32"/>
          <w:highlight w:val="none"/>
        </w:rPr>
        <w:t>年度本部门整体支出绩效自评分数为</w:t>
      </w:r>
      <w:r>
        <w:rPr>
          <w:rFonts w:hint="default" w:ascii="Times New Roman" w:hAnsi="Times New Roman" w:cs="Times New Roman"/>
          <w:color w:val="auto"/>
          <w:sz w:val="32"/>
          <w:szCs w:val="32"/>
          <w:highlight w:val="none"/>
          <w:lang w:val="en-US" w:eastAsia="zh-CN"/>
        </w:rPr>
        <w:t>100</w:t>
      </w:r>
      <w:r>
        <w:rPr>
          <w:rFonts w:hint="eastAsia" w:ascii="仿宋_GB2312" w:hAnsi="华文仿宋" w:cs="仿宋_GB2312"/>
          <w:color w:val="auto"/>
          <w:sz w:val="32"/>
          <w:szCs w:val="32"/>
          <w:highlight w:val="none"/>
        </w:rPr>
        <w:t>分，等级为优。</w:t>
      </w:r>
    </w:p>
    <w:p w14:paraId="139DBE20">
      <w:pPr>
        <w:ind w:firstLine="616" w:firstLineChars="200"/>
        <w:rPr>
          <w:rFonts w:ascii="方正小标宋简体" w:eastAsia="方正小标宋简体"/>
          <w:color w:val="auto"/>
          <w:highlight w:val="none"/>
        </w:rPr>
      </w:pPr>
      <w:bookmarkStart w:id="11" w:name="_Toc2072"/>
      <w:bookmarkStart w:id="12" w:name="_Toc2998_WPSOffice_Level1"/>
      <w:r>
        <w:rPr>
          <w:rFonts w:hint="eastAsia" w:ascii="方正小标宋简体" w:eastAsia="方正小标宋简体"/>
          <w:color w:val="auto"/>
          <w:highlight w:val="none"/>
        </w:rPr>
        <w:t>三、绩效自评分析</w:t>
      </w:r>
      <w:bookmarkEnd w:id="11"/>
      <w:bookmarkEnd w:id="12"/>
    </w:p>
    <w:p w14:paraId="067042E3">
      <w:pPr>
        <w:ind w:firstLine="616" w:firstLineChars="200"/>
        <w:rPr>
          <w:rFonts w:hint="eastAsia" w:ascii="楷体" w:hAnsi="楷体" w:eastAsia="楷体" w:cs="楷体"/>
          <w:b w:val="0"/>
          <w:bCs/>
          <w:color w:val="auto"/>
          <w:szCs w:val="32"/>
          <w:highlight w:val="none"/>
          <w:lang w:bidi="ar"/>
        </w:rPr>
      </w:pPr>
      <w:bookmarkStart w:id="13" w:name="_Toc27392_WPSOffice_Level2"/>
      <w:bookmarkStart w:id="14" w:name="_Toc22677"/>
      <w:bookmarkStart w:id="15" w:name="_Toc19924"/>
      <w:bookmarkStart w:id="16" w:name="_Toc26765_WPSOffice_Level3"/>
      <w:r>
        <w:rPr>
          <w:rFonts w:hint="eastAsia" w:ascii="楷体" w:hAnsi="楷体" w:eastAsia="楷体" w:cs="楷体"/>
          <w:b w:val="0"/>
          <w:bCs/>
          <w:color w:val="auto"/>
          <w:highlight w:val="none"/>
        </w:rPr>
        <w:t>（一）预算编制情况</w:t>
      </w:r>
      <w:bookmarkEnd w:id="13"/>
      <w:bookmarkEnd w:id="14"/>
      <w:bookmarkEnd w:id="15"/>
      <w:bookmarkEnd w:id="16"/>
    </w:p>
    <w:p w14:paraId="3BA0200E">
      <w:pPr>
        <w:ind w:firstLine="924" w:firstLineChars="300"/>
        <w:rPr>
          <w:rFonts w:hint="eastAsia" w:ascii="仿宋_GB2312" w:hAnsi="仿宋_GB2312" w:eastAsia="仿宋_GB2312" w:cs="仿宋_GB2312"/>
          <w:b/>
          <w:bCs/>
          <w:color w:val="auto"/>
          <w:szCs w:val="32"/>
          <w:highlight w:val="none"/>
          <w:lang w:bidi="ar"/>
        </w:rPr>
      </w:pPr>
      <w:r>
        <w:rPr>
          <w:rFonts w:hint="default" w:ascii="Times New Roman" w:hAnsi="Times New Roman" w:eastAsia="仿宋_GB2312" w:cs="Times New Roman"/>
          <w:b/>
          <w:bCs/>
          <w:color w:val="auto"/>
          <w:sz w:val="32"/>
          <w:szCs w:val="32"/>
          <w:highlight w:val="none"/>
          <w:lang w:bidi="ar"/>
        </w:rPr>
        <w:t>1</w:t>
      </w:r>
      <w:r>
        <w:rPr>
          <w:rFonts w:hint="eastAsia" w:ascii="仿宋_GB2312" w:hAnsi="仿宋_GB2312" w:eastAsia="仿宋_GB2312" w:cs="仿宋_GB2312"/>
          <w:b/>
          <w:bCs/>
          <w:color w:val="auto"/>
          <w:szCs w:val="32"/>
          <w:highlight w:val="none"/>
          <w:lang w:bidi="ar"/>
        </w:rPr>
        <w:t>.预算编制合理性及规范性</w:t>
      </w:r>
    </w:p>
    <w:p w14:paraId="442F6E23">
      <w:pPr>
        <w:ind w:firstLine="616" w:firstLineChars="200"/>
        <w:rPr>
          <w:rFonts w:hint="eastAsia" w:ascii="仿宋_GB2312" w:hAnsi="仿宋_GB2312" w:cs="仿宋_GB2312"/>
          <w:color w:val="auto"/>
          <w:szCs w:val="32"/>
          <w:highlight w:val="none"/>
          <w:lang w:bidi="ar"/>
        </w:rPr>
      </w:pPr>
      <w:r>
        <w:rPr>
          <w:rFonts w:hint="eastAsia" w:ascii="仿宋_GB2312" w:hAnsi="仿宋_GB2312" w:cs="仿宋_GB2312"/>
          <w:color w:val="auto"/>
          <w:szCs w:val="32"/>
          <w:highlight w:val="none"/>
          <w:lang w:bidi="ar"/>
        </w:rPr>
        <w:t>在合理性方面，自评分数为</w:t>
      </w:r>
      <w:r>
        <w:rPr>
          <w:rFonts w:hint="default" w:ascii="Times New Roman" w:hAnsi="Times New Roman" w:cs="Times New Roman"/>
          <w:color w:val="auto"/>
          <w:sz w:val="32"/>
          <w:szCs w:val="32"/>
          <w:highlight w:val="none"/>
          <w:lang w:bidi="ar"/>
        </w:rPr>
        <w:t>4</w:t>
      </w:r>
      <w:r>
        <w:rPr>
          <w:rFonts w:hint="eastAsia" w:ascii="仿宋_GB2312" w:hAnsi="仿宋_GB2312" w:cs="仿宋_GB2312"/>
          <w:color w:val="auto"/>
          <w:szCs w:val="32"/>
          <w:highlight w:val="none"/>
          <w:lang w:bidi="ar"/>
        </w:rPr>
        <w:t>分。本部门预算编制、分配符</w:t>
      </w:r>
      <w:r>
        <w:rPr>
          <w:rFonts w:hint="eastAsia" w:ascii="仿宋_GB2312" w:hAnsi="仿宋_GB2312" w:cs="仿宋_GB2312"/>
          <w:color w:val="auto"/>
          <w:szCs w:val="32"/>
          <w:highlight w:val="none"/>
          <w:lang w:bidi="ar"/>
        </w:rPr>
        <w:t>合本部门职责、符合县委县政府方针政策和工作要求；能根据年度工作重点，在不同项目、不同用途之间合理分配部门预算资金；专项资金编制细化至末级经济分类，功能分类和经济分类编制准确，未出现因年中调剂导致部门预决算差异过大的问题，项目之间未频繁调剂</w:t>
      </w:r>
      <w:r>
        <w:rPr>
          <w:rFonts w:hint="eastAsia" w:ascii="仿宋_GB2312" w:hAnsi="仿宋_GB2312" w:cs="仿宋_GB2312"/>
          <w:color w:val="auto"/>
          <w:szCs w:val="32"/>
          <w:highlight w:val="none"/>
          <w:lang w:eastAsia="zh-CN" w:bidi="ar"/>
        </w:rPr>
        <w:t>；部门预算分配不固化，能根据实际情况合理调整</w:t>
      </w:r>
      <w:r>
        <w:rPr>
          <w:rFonts w:hint="eastAsia" w:ascii="仿宋_GB2312" w:hAnsi="仿宋_GB2312" w:cs="仿宋_GB2312"/>
          <w:color w:val="auto"/>
          <w:szCs w:val="32"/>
          <w:highlight w:val="none"/>
          <w:lang w:bidi="ar"/>
        </w:rPr>
        <w:t>。</w:t>
      </w:r>
    </w:p>
    <w:p w14:paraId="58424F7D">
      <w:pPr>
        <w:ind w:firstLine="616" w:firstLineChars="200"/>
        <w:rPr>
          <w:rFonts w:hint="default" w:ascii="仿宋_GB2312" w:hAnsi="仿宋_GB2312" w:eastAsia="仿宋_GB2312" w:cs="仿宋_GB2312"/>
          <w:color w:val="auto"/>
          <w:sz w:val="32"/>
          <w:szCs w:val="32"/>
          <w:highlight w:val="none"/>
          <w:lang w:val="en-US" w:eastAsia="zh-CN" w:bidi="ar"/>
        </w:rPr>
      </w:pPr>
      <w:r>
        <w:rPr>
          <w:rFonts w:hint="eastAsia" w:ascii="仿宋_GB2312" w:hAnsi="仿宋_GB2312" w:cs="仿宋_GB2312"/>
          <w:color w:val="auto"/>
          <w:szCs w:val="32"/>
          <w:highlight w:val="none"/>
          <w:lang w:bidi="ar"/>
        </w:rPr>
        <w:t>在规范性方面，自评分数为</w:t>
      </w:r>
      <w:r>
        <w:rPr>
          <w:rFonts w:hint="default" w:ascii="Times New Roman" w:hAnsi="Times New Roman" w:cs="Times New Roman"/>
          <w:color w:val="auto"/>
          <w:sz w:val="32"/>
          <w:szCs w:val="32"/>
          <w:highlight w:val="none"/>
          <w:lang w:bidi="ar"/>
        </w:rPr>
        <w:t>4</w:t>
      </w:r>
      <w:r>
        <w:rPr>
          <w:rFonts w:hint="eastAsia" w:ascii="仿宋_GB2312" w:hAnsi="仿宋_GB2312" w:cs="仿宋_GB2312"/>
          <w:color w:val="auto"/>
          <w:szCs w:val="32"/>
          <w:highlight w:val="none"/>
          <w:lang w:bidi="ar"/>
        </w:rPr>
        <w:t>分。按照县财政部门印发的预算编制工作方案、通知和有关制度要求编制预算，按要求做好项目库工作，并符合项目库入库管理、评审管理等要求；项目支出预算按要求细化到具体用款单位和具体执行项目。</w:t>
      </w:r>
    </w:p>
    <w:p w14:paraId="6EF5A38F">
      <w:pPr>
        <w:keepNext w:val="0"/>
        <w:keepLines w:val="0"/>
        <w:pageBreakBefore w:val="0"/>
        <w:widowControl w:val="0"/>
        <w:kinsoku/>
        <w:wordWrap/>
        <w:overflowPunct/>
        <w:topLinePunct w:val="0"/>
        <w:autoSpaceDE/>
        <w:bidi w:val="0"/>
        <w:spacing w:line="540" w:lineRule="exact"/>
        <w:ind w:firstLine="616" w:firstLineChars="200"/>
        <w:textAlignment w:val="auto"/>
        <w:rPr>
          <w:rFonts w:eastAsia="宋体"/>
          <w:b/>
          <w:bCs/>
          <w:color w:val="auto"/>
          <w:sz w:val="32"/>
          <w:szCs w:val="32"/>
          <w:highlight w:val="none"/>
        </w:rPr>
      </w:pPr>
      <w:r>
        <w:rPr>
          <w:rFonts w:hint="default" w:ascii="Times New Roman" w:hAnsi="Times New Roman" w:cs="Times New Roman"/>
          <w:b/>
          <w:bCs/>
          <w:color w:val="auto"/>
          <w:sz w:val="32"/>
          <w:szCs w:val="32"/>
          <w:highlight w:val="none"/>
          <w:lang w:val="en-US" w:eastAsia="zh-CN" w:bidi="ar"/>
        </w:rPr>
        <w:t>2</w:t>
      </w:r>
      <w:r>
        <w:rPr>
          <w:rFonts w:hint="eastAsia" w:ascii="仿宋_GB2312" w:hAnsi="仿宋_GB2312" w:cs="仿宋_GB2312"/>
          <w:b/>
          <w:bCs/>
          <w:color w:val="auto"/>
          <w:sz w:val="32"/>
          <w:szCs w:val="32"/>
          <w:highlight w:val="none"/>
          <w:lang w:val="en-US" w:eastAsia="zh-CN" w:bidi="ar"/>
        </w:rPr>
        <w:t>.</w:t>
      </w:r>
      <w:r>
        <w:rPr>
          <w:rFonts w:hint="eastAsia" w:ascii="仿宋_GB2312" w:hAnsi="仿宋_GB2312" w:cs="仿宋_GB2312"/>
          <w:b/>
          <w:bCs/>
          <w:color w:val="auto"/>
          <w:sz w:val="32"/>
          <w:szCs w:val="32"/>
          <w:highlight w:val="none"/>
          <w:lang w:bidi="ar"/>
        </w:rPr>
        <w:t>目标设置情况</w:t>
      </w:r>
    </w:p>
    <w:p w14:paraId="170BA347">
      <w:pPr>
        <w:ind w:firstLine="616" w:firstLineChars="200"/>
        <w:rPr>
          <w:rFonts w:hint="eastAsia" w:ascii="仿宋_GB2312" w:hAnsi="仿宋_GB2312" w:cs="仿宋_GB2312"/>
          <w:color w:val="auto"/>
          <w:szCs w:val="32"/>
          <w:highlight w:val="none"/>
          <w:lang w:bidi="ar"/>
        </w:rPr>
      </w:pPr>
      <w:r>
        <w:rPr>
          <w:rFonts w:hint="eastAsia" w:ascii="仿宋_GB2312" w:hAnsi="仿宋_GB2312" w:cs="仿宋_GB2312"/>
          <w:color w:val="auto"/>
          <w:szCs w:val="32"/>
          <w:highlight w:val="none"/>
          <w:lang w:bidi="ar"/>
        </w:rPr>
        <w:t>在绩效目标合理性方面，自评分数为</w:t>
      </w:r>
      <w:r>
        <w:rPr>
          <w:rFonts w:hint="default" w:ascii="Times New Roman" w:hAnsi="Times New Roman" w:cs="Times New Roman"/>
          <w:color w:val="auto"/>
          <w:sz w:val="32"/>
          <w:szCs w:val="32"/>
          <w:highlight w:val="none"/>
          <w:lang w:bidi="ar"/>
        </w:rPr>
        <w:t>6</w:t>
      </w:r>
      <w:r>
        <w:rPr>
          <w:rFonts w:hint="eastAsia" w:ascii="仿宋_GB2312" w:hAnsi="仿宋_GB2312" w:cs="仿宋_GB2312"/>
          <w:color w:val="auto"/>
          <w:szCs w:val="32"/>
          <w:highlight w:val="none"/>
          <w:lang w:bidi="ar"/>
        </w:rPr>
        <w:t>分。本部门整体绩效目标能体现部门（单位）“三定”方案规定的部门职能、中长期规划和年度工作计划，并与年度工作任务相符，能分解成具体工作任务；整体绩效目标与本年度部门预算资金相匹配；各项审计项目均进行可行性讨论和充分论证，审计计划在与县委、县政府充分沟通的基础上编制审计项目计划（草案），经县政府审核后，由市级审计机关汇总上报省审计机关审计项目计划统筹委员会审核，我县按照省审计厅审核意见对审计项目计划（草案）进行修改完善，按照同级审计委员会工作规则，由县委审计委员会办公室报县委审计委员会主任批准、提交审计委员会会议审议决定。</w:t>
      </w:r>
    </w:p>
    <w:p w14:paraId="0547DB6B">
      <w:pPr>
        <w:ind w:firstLine="616" w:firstLineChars="200"/>
        <w:rPr>
          <w:rFonts w:hint="eastAsia" w:ascii="仿宋_GB2312" w:hAnsi="仿宋_GB2312" w:cs="仿宋_GB2312"/>
          <w:color w:val="auto"/>
          <w:szCs w:val="32"/>
          <w:highlight w:val="none"/>
          <w:lang w:bidi="ar"/>
        </w:rPr>
      </w:pPr>
      <w:r>
        <w:rPr>
          <w:rFonts w:hint="eastAsia" w:ascii="仿宋_GB2312" w:hAnsi="仿宋_GB2312" w:cs="仿宋_GB2312"/>
          <w:color w:val="auto"/>
          <w:szCs w:val="32"/>
          <w:highlight w:val="none"/>
          <w:lang w:bidi="ar"/>
        </w:rPr>
        <w:t>在绩效目标完整性方面，自评分数为</w:t>
      </w:r>
      <w:r>
        <w:rPr>
          <w:rFonts w:hint="default" w:ascii="Times New Roman" w:hAnsi="Times New Roman" w:cs="Times New Roman"/>
          <w:color w:val="auto"/>
          <w:sz w:val="32"/>
          <w:szCs w:val="32"/>
          <w:highlight w:val="none"/>
          <w:lang w:bidi="ar"/>
        </w:rPr>
        <w:t>2</w:t>
      </w:r>
      <w:r>
        <w:rPr>
          <w:rFonts w:hint="eastAsia" w:ascii="仿宋_GB2312" w:hAnsi="仿宋_GB2312" w:cs="仿宋_GB2312"/>
          <w:color w:val="auto"/>
          <w:szCs w:val="32"/>
          <w:highlight w:val="none"/>
          <w:lang w:bidi="ar"/>
        </w:rPr>
        <w:t>分。本部门按要求、按质按时编报并向县财政局报送部门整体绩效目标和项目绩效目标</w:t>
      </w:r>
      <w:r>
        <w:rPr>
          <w:rFonts w:hint="eastAsia" w:ascii="仿宋_GB2312" w:hAnsi="仿宋_GB2312" w:cs="仿宋_GB2312"/>
          <w:color w:val="auto"/>
          <w:szCs w:val="32"/>
          <w:highlight w:val="none"/>
          <w:lang w:eastAsia="zh-CN" w:bidi="ar"/>
        </w:rPr>
        <w:t>，</w:t>
      </w:r>
      <w:r>
        <w:rPr>
          <w:rFonts w:hint="eastAsia" w:ascii="仿宋_GB2312" w:hAnsi="仿宋_GB2312" w:cs="仿宋_GB2312"/>
          <w:color w:val="auto"/>
          <w:szCs w:val="32"/>
          <w:highlight w:val="none"/>
          <w:lang w:val="en-US" w:eastAsia="zh-CN" w:bidi="ar"/>
        </w:rPr>
        <w:t>内容完整准确</w:t>
      </w:r>
      <w:r>
        <w:rPr>
          <w:rFonts w:hint="eastAsia" w:ascii="仿宋_GB2312" w:hAnsi="仿宋_GB2312" w:cs="仿宋_GB2312"/>
          <w:color w:val="auto"/>
          <w:szCs w:val="32"/>
          <w:highlight w:val="none"/>
          <w:lang w:bidi="ar"/>
        </w:rPr>
        <w:t>。</w:t>
      </w:r>
    </w:p>
    <w:p w14:paraId="16B39B1A">
      <w:pPr>
        <w:ind w:firstLine="616" w:firstLineChars="200"/>
        <w:rPr>
          <w:rFonts w:eastAsia="宋体"/>
          <w:color w:val="auto"/>
          <w:sz w:val="24"/>
          <w:szCs w:val="22"/>
          <w:highlight w:val="none"/>
        </w:rPr>
      </w:pPr>
      <w:r>
        <w:rPr>
          <w:rFonts w:hint="eastAsia" w:ascii="仿宋_GB2312" w:hAnsi="仿宋_GB2312" w:cs="仿宋_GB2312"/>
          <w:color w:val="auto"/>
          <w:szCs w:val="32"/>
          <w:highlight w:val="none"/>
          <w:lang w:bidi="ar"/>
        </w:rPr>
        <w:t>在绩效指标明确性方面，自评分数为</w:t>
      </w:r>
      <w:r>
        <w:rPr>
          <w:rFonts w:hint="default" w:ascii="Times New Roman" w:hAnsi="Times New Roman" w:cs="Times New Roman"/>
          <w:color w:val="auto"/>
          <w:sz w:val="32"/>
          <w:szCs w:val="32"/>
          <w:highlight w:val="none"/>
          <w:lang w:val="en-US" w:eastAsia="zh-CN" w:bidi="ar"/>
        </w:rPr>
        <w:t>4</w:t>
      </w:r>
      <w:r>
        <w:rPr>
          <w:rFonts w:hint="eastAsia" w:ascii="仿宋_GB2312" w:hAnsi="仿宋_GB2312" w:cs="仿宋_GB2312"/>
          <w:color w:val="auto"/>
          <w:szCs w:val="32"/>
          <w:highlight w:val="none"/>
          <w:lang w:bidi="ar"/>
        </w:rPr>
        <w:t>分。本部门依据整体绩效目标所设定的部分绩效指标清晰、细化、可量化。</w:t>
      </w:r>
    </w:p>
    <w:p w14:paraId="6B4DAD53">
      <w:pPr>
        <w:ind w:firstLine="616" w:firstLineChars="200"/>
        <w:rPr>
          <w:rFonts w:hint="eastAsia" w:ascii="楷体" w:hAnsi="楷体" w:eastAsia="楷体" w:cs="楷体"/>
          <w:b w:val="0"/>
          <w:bCs/>
          <w:color w:val="auto"/>
          <w:highlight w:val="none"/>
        </w:rPr>
      </w:pPr>
      <w:bookmarkStart w:id="17" w:name="_Toc13662"/>
      <w:bookmarkStart w:id="18" w:name="_Toc32482"/>
      <w:bookmarkStart w:id="19" w:name="_Toc5828_WPSOffice_Level3"/>
      <w:bookmarkStart w:id="20" w:name="_Toc19200_WPSOffice_Level2"/>
      <w:r>
        <w:rPr>
          <w:rFonts w:hint="eastAsia" w:ascii="楷体" w:hAnsi="楷体" w:eastAsia="楷体" w:cs="楷体"/>
          <w:b w:val="0"/>
          <w:bCs/>
          <w:color w:val="auto"/>
          <w:highlight w:val="none"/>
        </w:rPr>
        <w:t>（二）预算执行情况</w:t>
      </w:r>
      <w:bookmarkEnd w:id="17"/>
      <w:bookmarkEnd w:id="18"/>
      <w:bookmarkEnd w:id="19"/>
      <w:bookmarkEnd w:id="20"/>
    </w:p>
    <w:p w14:paraId="38594AE2">
      <w:pPr>
        <w:ind w:firstLine="616" w:firstLineChars="200"/>
        <w:rPr>
          <w:rFonts w:hint="eastAsia" w:ascii="仿宋_GB2312" w:hAnsi="仿宋_GB2312" w:cs="仿宋_GB2312"/>
          <w:b/>
          <w:bCs/>
          <w:color w:val="auto"/>
          <w:szCs w:val="32"/>
          <w:highlight w:val="none"/>
          <w:lang w:bidi="ar"/>
        </w:rPr>
      </w:pPr>
      <w:r>
        <w:rPr>
          <w:rFonts w:hint="default" w:ascii="Times New Roman" w:hAnsi="Times New Roman" w:cs="Times New Roman"/>
          <w:b/>
          <w:bCs/>
          <w:color w:val="auto"/>
          <w:sz w:val="32"/>
          <w:szCs w:val="32"/>
          <w:highlight w:val="none"/>
          <w:lang w:bidi="ar"/>
        </w:rPr>
        <w:t>1</w:t>
      </w:r>
      <w:r>
        <w:rPr>
          <w:rFonts w:hint="eastAsia" w:ascii="仿宋_GB2312" w:hAnsi="仿宋_GB2312" w:cs="仿宋_GB2312"/>
          <w:b/>
          <w:bCs/>
          <w:color w:val="auto"/>
          <w:szCs w:val="32"/>
          <w:highlight w:val="none"/>
          <w:lang w:bidi="ar"/>
        </w:rPr>
        <w:t>.制度管理</w:t>
      </w:r>
    </w:p>
    <w:p w14:paraId="69FDB214">
      <w:pPr>
        <w:ind w:firstLine="616" w:firstLineChars="200"/>
        <w:rPr>
          <w:rFonts w:hint="eastAsia" w:ascii="仿宋_GB2312" w:hAnsi="仿宋_GB2312" w:cs="仿宋_GB2312"/>
          <w:color w:val="auto"/>
          <w:szCs w:val="32"/>
          <w:highlight w:val="none"/>
          <w:lang w:bidi="ar"/>
        </w:rPr>
      </w:pPr>
      <w:r>
        <w:rPr>
          <w:rFonts w:hint="eastAsia" w:ascii="仿宋_GB2312" w:hAnsi="仿宋_GB2312" w:cs="仿宋_GB2312"/>
          <w:color w:val="auto"/>
          <w:szCs w:val="32"/>
          <w:highlight w:val="none"/>
          <w:lang w:bidi="ar"/>
        </w:rPr>
        <w:t>在管理制度健全性及执行情况方面，自评分数为</w:t>
      </w:r>
      <w:r>
        <w:rPr>
          <w:rFonts w:hint="default" w:ascii="Times New Roman" w:hAnsi="Times New Roman" w:cs="Times New Roman"/>
          <w:color w:val="auto"/>
          <w:sz w:val="32"/>
          <w:szCs w:val="32"/>
          <w:highlight w:val="none"/>
          <w:lang w:bidi="ar"/>
        </w:rPr>
        <w:t>5</w:t>
      </w:r>
      <w:r>
        <w:rPr>
          <w:rFonts w:hint="eastAsia" w:ascii="仿宋_GB2312" w:hAnsi="仿宋_GB2312" w:cs="仿宋_GB2312"/>
          <w:color w:val="auto"/>
          <w:szCs w:val="32"/>
          <w:highlight w:val="none"/>
          <w:lang w:bidi="ar"/>
        </w:rPr>
        <w:t>分。本部门制订了财政资金管理、内部财务、项目管理等制度且相关管理制度能得到有效执行的；制订并落实了本部门预算绩效管理制度，根据县财政部门的相关文件要求，开展了绩效评价等工作。</w:t>
      </w:r>
    </w:p>
    <w:p w14:paraId="742BC712">
      <w:pPr>
        <w:ind w:firstLine="616" w:firstLineChars="200"/>
        <w:rPr>
          <w:rFonts w:hint="eastAsia" w:ascii="仿宋_GB2312" w:hAnsi="仿宋_GB2312" w:cs="仿宋_GB2312"/>
          <w:b/>
          <w:bCs/>
          <w:color w:val="auto"/>
          <w:szCs w:val="32"/>
          <w:highlight w:val="none"/>
          <w:lang w:eastAsia="zh-CN" w:bidi="ar"/>
        </w:rPr>
      </w:pPr>
      <w:r>
        <w:rPr>
          <w:rFonts w:hint="default" w:ascii="Times New Roman" w:hAnsi="Times New Roman" w:cs="Times New Roman"/>
          <w:b/>
          <w:bCs/>
          <w:color w:val="auto"/>
          <w:sz w:val="32"/>
          <w:szCs w:val="32"/>
          <w:highlight w:val="none"/>
          <w:lang w:bidi="ar"/>
        </w:rPr>
        <w:t>2</w:t>
      </w:r>
      <w:r>
        <w:rPr>
          <w:rFonts w:hint="eastAsia" w:ascii="仿宋_GB2312" w:hAnsi="仿宋_GB2312" w:cs="仿宋_GB2312"/>
          <w:b/>
          <w:bCs/>
          <w:color w:val="auto"/>
          <w:szCs w:val="32"/>
          <w:highlight w:val="none"/>
          <w:lang w:bidi="ar"/>
        </w:rPr>
        <w:t>.资金管理</w:t>
      </w:r>
    </w:p>
    <w:p w14:paraId="5C3DD15B">
      <w:pPr>
        <w:ind w:firstLine="616" w:firstLineChars="200"/>
        <w:rPr>
          <w:rFonts w:hint="eastAsia" w:ascii="仿宋_GB2312" w:hAnsi="仿宋_GB2312" w:cs="仿宋_GB2312"/>
          <w:color w:val="auto"/>
          <w:szCs w:val="32"/>
          <w:highlight w:val="none"/>
          <w:lang w:bidi="ar"/>
        </w:rPr>
      </w:pPr>
      <w:r>
        <w:rPr>
          <w:rFonts w:hint="eastAsia" w:ascii="仿宋_GB2312" w:hAnsi="仿宋_GB2312" w:cs="仿宋_GB2312"/>
          <w:color w:val="auto"/>
          <w:szCs w:val="32"/>
          <w:highlight w:val="none"/>
          <w:lang w:bidi="ar"/>
        </w:rPr>
        <w:t>在资金管理方面，自评分数为</w:t>
      </w:r>
      <w:r>
        <w:rPr>
          <w:rFonts w:hint="default" w:ascii="Times New Roman" w:hAnsi="Times New Roman" w:cs="Times New Roman"/>
          <w:color w:val="auto"/>
          <w:sz w:val="32"/>
          <w:szCs w:val="32"/>
          <w:highlight w:val="none"/>
          <w:lang w:val="en-US" w:eastAsia="zh-CN" w:bidi="ar"/>
        </w:rPr>
        <w:t>20</w:t>
      </w:r>
      <w:r>
        <w:rPr>
          <w:rFonts w:hint="eastAsia" w:ascii="仿宋_GB2312" w:hAnsi="仿宋_GB2312" w:cs="仿宋_GB2312"/>
          <w:color w:val="auto"/>
          <w:szCs w:val="32"/>
          <w:highlight w:val="none"/>
          <w:lang w:bidi="ar"/>
        </w:rPr>
        <w:t>分。一是本部门没有转移支付及没有需要批复预算的下属单位，</w:t>
      </w:r>
      <w:r>
        <w:rPr>
          <w:rFonts w:hint="default" w:ascii="Times New Roman" w:hAnsi="Times New Roman" w:cs="Times New Roman"/>
          <w:color w:val="auto"/>
          <w:sz w:val="32"/>
          <w:szCs w:val="32"/>
          <w:highlight w:val="none"/>
          <w:lang w:bidi="ar"/>
        </w:rPr>
        <w:t>202</w:t>
      </w:r>
      <w:r>
        <w:rPr>
          <w:rFonts w:hint="default" w:ascii="Times New Roman" w:hAnsi="Times New Roman" w:cs="Times New Roman"/>
          <w:color w:val="auto"/>
          <w:sz w:val="32"/>
          <w:szCs w:val="32"/>
          <w:highlight w:val="none"/>
          <w:lang w:val="en-US" w:eastAsia="zh-CN" w:bidi="ar"/>
        </w:rPr>
        <w:t>5</w:t>
      </w:r>
      <w:r>
        <w:rPr>
          <w:rFonts w:hint="eastAsia" w:ascii="仿宋_GB2312" w:hAnsi="仿宋_GB2312" w:cs="仿宋_GB2312"/>
          <w:color w:val="auto"/>
          <w:szCs w:val="32"/>
          <w:highlight w:val="none"/>
          <w:lang w:bidi="ar"/>
        </w:rPr>
        <w:t>年支出完成率为</w:t>
      </w:r>
      <w:r>
        <w:rPr>
          <w:rFonts w:hint="default" w:ascii="Times New Roman" w:hAnsi="Times New Roman" w:cs="Times New Roman"/>
          <w:bCs/>
          <w:color w:val="auto"/>
          <w:sz w:val="32"/>
          <w:szCs w:val="32"/>
          <w:highlight w:val="none"/>
          <w:lang w:val="en-US" w:eastAsia="zh-CN" w:bidi="ar"/>
        </w:rPr>
        <w:t>99</w:t>
      </w:r>
      <w:r>
        <w:rPr>
          <w:rFonts w:hint="eastAsia" w:ascii="仿宋_GB2312" w:hAnsi="仿宋_GB2312" w:cs="仿宋_GB2312"/>
          <w:bCs/>
          <w:color w:val="auto"/>
          <w:szCs w:val="32"/>
          <w:highlight w:val="none"/>
          <w:lang w:val="en-US" w:eastAsia="zh-CN" w:bidi="ar"/>
        </w:rPr>
        <w:t>.</w:t>
      </w:r>
      <w:r>
        <w:rPr>
          <w:rFonts w:hint="default" w:ascii="Times New Roman" w:hAnsi="Times New Roman" w:cs="Times New Roman"/>
          <w:bCs/>
          <w:color w:val="auto"/>
          <w:sz w:val="32"/>
          <w:szCs w:val="32"/>
          <w:highlight w:val="none"/>
          <w:lang w:val="en-US" w:eastAsia="zh-CN" w:bidi="ar"/>
        </w:rPr>
        <w:t>32%</w:t>
      </w:r>
      <w:r>
        <w:rPr>
          <w:rFonts w:hint="eastAsia" w:ascii="仿宋_GB2312" w:hAnsi="仿宋_GB2312" w:cs="仿宋_GB2312"/>
          <w:color w:val="auto"/>
          <w:szCs w:val="32"/>
          <w:highlight w:val="none"/>
          <w:lang w:bidi="ar"/>
        </w:rPr>
        <w:t>，完成了</w:t>
      </w:r>
      <w:r>
        <w:rPr>
          <w:rFonts w:hint="default" w:ascii="Times New Roman" w:hAnsi="Times New Roman" w:cs="Times New Roman"/>
          <w:color w:val="auto"/>
          <w:sz w:val="32"/>
          <w:szCs w:val="32"/>
          <w:highlight w:val="none"/>
          <w:lang w:bidi="ar"/>
        </w:rPr>
        <w:t>202</w:t>
      </w:r>
      <w:r>
        <w:rPr>
          <w:rFonts w:hint="default" w:ascii="Times New Roman" w:hAnsi="Times New Roman" w:cs="Times New Roman"/>
          <w:color w:val="auto"/>
          <w:sz w:val="32"/>
          <w:szCs w:val="32"/>
          <w:highlight w:val="none"/>
          <w:lang w:val="en-US" w:eastAsia="zh-CN" w:bidi="ar"/>
        </w:rPr>
        <w:t>5</w:t>
      </w:r>
      <w:r>
        <w:rPr>
          <w:rFonts w:hint="eastAsia" w:ascii="仿宋_GB2312" w:hAnsi="仿宋_GB2312" w:cs="仿宋_GB2312"/>
          <w:color w:val="auto"/>
          <w:szCs w:val="32"/>
          <w:highlight w:val="none"/>
          <w:lang w:bidi="ar"/>
        </w:rPr>
        <w:t>年度相关工作，没有因资金未支付影响项目进展问题；</w:t>
      </w:r>
      <w:r>
        <w:rPr>
          <w:rFonts w:hint="eastAsia" w:ascii="仿宋_GB2312" w:hAnsi="仿宋_GB2312" w:cs="仿宋_GB2312"/>
          <w:color w:val="auto"/>
          <w:szCs w:val="32"/>
          <w:highlight w:val="none"/>
          <w:lang w:val="en-US" w:eastAsia="zh-CN" w:bidi="ar"/>
        </w:rPr>
        <w:t>年末</w:t>
      </w:r>
      <w:r>
        <w:rPr>
          <w:rFonts w:hint="eastAsia" w:ascii="仿宋_GB2312" w:hAnsi="仿宋_GB2312" w:cs="仿宋_GB2312"/>
          <w:color w:val="auto"/>
          <w:szCs w:val="32"/>
          <w:highlight w:val="none"/>
          <w:lang w:bidi="ar"/>
        </w:rPr>
        <w:t>财政拨款结转结余资金</w:t>
      </w:r>
      <w:r>
        <w:rPr>
          <w:rFonts w:hint="default" w:ascii="Times New Roman" w:hAnsi="Times New Roman" w:cs="Times New Roman"/>
          <w:color w:val="auto"/>
          <w:sz w:val="32"/>
          <w:szCs w:val="32"/>
          <w:highlight w:val="none"/>
          <w:lang w:val="en-US" w:eastAsia="zh-CN" w:bidi="ar"/>
        </w:rPr>
        <w:t>4</w:t>
      </w:r>
      <w:r>
        <w:rPr>
          <w:rFonts w:hint="eastAsia" w:ascii="Times New Roman" w:hAnsi="Times New Roman" w:cs="Times New Roman"/>
          <w:color w:val="auto"/>
          <w:sz w:val="32"/>
          <w:szCs w:val="32"/>
          <w:highlight w:val="none"/>
          <w:lang w:val="en-US" w:eastAsia="zh-CN" w:bidi="ar"/>
        </w:rPr>
        <w:t>.</w:t>
      </w:r>
      <w:r>
        <w:rPr>
          <w:rFonts w:hint="default" w:ascii="Times New Roman" w:hAnsi="Times New Roman" w:cs="Times New Roman"/>
          <w:color w:val="auto"/>
          <w:sz w:val="32"/>
          <w:szCs w:val="32"/>
          <w:highlight w:val="none"/>
          <w:lang w:val="en-US" w:eastAsia="zh-CN" w:bidi="ar"/>
        </w:rPr>
        <w:t>65</w:t>
      </w:r>
      <w:r>
        <w:rPr>
          <w:rFonts w:hint="eastAsia" w:ascii="仿宋_GB2312" w:hAnsi="仿宋_GB2312" w:cs="仿宋_GB2312"/>
          <w:color w:val="auto"/>
          <w:szCs w:val="32"/>
          <w:highlight w:val="none"/>
          <w:lang w:bidi="ar"/>
        </w:rPr>
        <w:t>万元，</w:t>
      </w:r>
      <w:r>
        <w:rPr>
          <w:rFonts w:hint="eastAsia" w:ascii="仿宋_GB2312" w:hAnsi="仿宋_GB2312" w:cs="仿宋_GB2312"/>
          <w:color w:val="auto"/>
          <w:szCs w:val="32"/>
          <w:highlight w:val="none"/>
          <w:lang w:val="en-US" w:eastAsia="zh-CN" w:bidi="ar"/>
        </w:rPr>
        <w:t>年初财政拨款结转结余收入决算数为</w:t>
      </w:r>
      <w:r>
        <w:rPr>
          <w:rFonts w:hint="default" w:ascii="Times New Roman" w:hAnsi="Times New Roman" w:cs="Times New Roman"/>
          <w:color w:val="auto"/>
          <w:sz w:val="32"/>
          <w:szCs w:val="32"/>
          <w:highlight w:val="none"/>
          <w:lang w:val="en-US" w:eastAsia="zh-CN" w:bidi="ar"/>
        </w:rPr>
        <w:t>0</w:t>
      </w:r>
      <w:r>
        <w:rPr>
          <w:rFonts w:hint="eastAsia" w:ascii="仿宋_GB2312" w:hAnsi="仿宋_GB2312" w:cs="仿宋_GB2312"/>
          <w:color w:val="auto"/>
          <w:szCs w:val="32"/>
          <w:highlight w:val="none"/>
          <w:lang w:val="en-US" w:eastAsia="zh-CN" w:bidi="ar"/>
        </w:rPr>
        <w:t>.</w:t>
      </w:r>
      <w:r>
        <w:rPr>
          <w:rFonts w:hint="default" w:ascii="Times New Roman" w:hAnsi="Times New Roman" w:cs="Times New Roman"/>
          <w:color w:val="auto"/>
          <w:sz w:val="32"/>
          <w:szCs w:val="32"/>
          <w:highlight w:val="none"/>
          <w:lang w:val="en-US" w:eastAsia="zh-CN" w:bidi="ar"/>
        </w:rPr>
        <w:t>19</w:t>
      </w:r>
      <w:r>
        <w:rPr>
          <w:rFonts w:hint="eastAsia" w:ascii="仿宋_GB2312" w:hAnsi="仿宋_GB2312" w:cs="仿宋_GB2312"/>
          <w:color w:val="auto"/>
          <w:szCs w:val="32"/>
          <w:highlight w:val="none"/>
          <w:lang w:val="en-US" w:eastAsia="zh-CN" w:bidi="ar"/>
        </w:rPr>
        <w:t>万元，</w:t>
      </w:r>
      <w:r>
        <w:rPr>
          <w:rFonts w:hint="default" w:ascii="Times New Roman" w:hAnsi="Times New Roman" w:cs="Times New Roman"/>
          <w:color w:val="auto"/>
          <w:sz w:val="32"/>
          <w:szCs w:val="32"/>
          <w:highlight w:val="none"/>
          <w:lang w:bidi="ar"/>
        </w:rPr>
        <w:t>202</w:t>
      </w:r>
      <w:r>
        <w:rPr>
          <w:rFonts w:hint="default" w:ascii="Times New Roman" w:hAnsi="Times New Roman" w:cs="Times New Roman"/>
          <w:color w:val="auto"/>
          <w:sz w:val="32"/>
          <w:szCs w:val="32"/>
          <w:highlight w:val="none"/>
          <w:lang w:val="en-US" w:eastAsia="zh-CN" w:bidi="ar"/>
        </w:rPr>
        <w:t>5</w:t>
      </w:r>
      <w:r>
        <w:rPr>
          <w:rFonts w:hint="eastAsia" w:ascii="仿宋_GB2312" w:hAnsi="仿宋_GB2312" w:cs="仿宋_GB2312"/>
          <w:color w:val="auto"/>
          <w:szCs w:val="32"/>
          <w:highlight w:val="none"/>
          <w:lang w:bidi="ar"/>
        </w:rPr>
        <w:t>年财政拨款收入</w:t>
      </w:r>
      <w:r>
        <w:rPr>
          <w:rFonts w:hint="default" w:ascii="Times New Roman" w:hAnsi="Times New Roman" w:cs="Times New Roman"/>
          <w:color w:val="auto"/>
          <w:sz w:val="32"/>
          <w:szCs w:val="32"/>
          <w:highlight w:val="none"/>
          <w:lang w:val="en-US" w:eastAsia="zh-CN" w:bidi="ar"/>
        </w:rPr>
        <w:t>683</w:t>
      </w:r>
      <w:r>
        <w:rPr>
          <w:rFonts w:hint="eastAsia" w:ascii="Times New Roman" w:hAnsi="Times New Roman" w:cs="Times New Roman"/>
          <w:color w:val="auto"/>
          <w:sz w:val="32"/>
          <w:szCs w:val="32"/>
          <w:highlight w:val="none"/>
          <w:lang w:val="en-US" w:eastAsia="zh-CN" w:bidi="ar"/>
        </w:rPr>
        <w:t>.</w:t>
      </w:r>
      <w:r>
        <w:rPr>
          <w:rFonts w:hint="default" w:ascii="Times New Roman" w:hAnsi="Times New Roman" w:cs="Times New Roman"/>
          <w:color w:val="auto"/>
          <w:sz w:val="32"/>
          <w:szCs w:val="32"/>
          <w:highlight w:val="none"/>
          <w:lang w:val="en-US" w:eastAsia="zh-CN" w:bidi="ar"/>
        </w:rPr>
        <w:t>89</w:t>
      </w:r>
      <w:r>
        <w:rPr>
          <w:rFonts w:hint="eastAsia" w:ascii="仿宋_GB2312" w:hAnsi="仿宋_GB2312" w:cs="仿宋_GB2312"/>
          <w:color w:val="auto"/>
          <w:szCs w:val="32"/>
          <w:highlight w:val="none"/>
          <w:lang w:bidi="ar"/>
        </w:rPr>
        <w:t>万元，</w:t>
      </w:r>
      <w:r>
        <w:rPr>
          <w:rFonts w:hint="default" w:ascii="Times New Roman" w:hAnsi="Times New Roman" w:cs="Times New Roman"/>
          <w:color w:val="auto"/>
          <w:sz w:val="32"/>
          <w:szCs w:val="32"/>
          <w:highlight w:val="none"/>
          <w:lang w:bidi="ar"/>
        </w:rPr>
        <w:t>202</w:t>
      </w:r>
      <w:r>
        <w:rPr>
          <w:rFonts w:hint="default" w:ascii="Times New Roman" w:hAnsi="Times New Roman" w:cs="Times New Roman"/>
          <w:color w:val="auto"/>
          <w:sz w:val="32"/>
          <w:szCs w:val="32"/>
          <w:highlight w:val="none"/>
          <w:lang w:val="en-US" w:eastAsia="zh-CN" w:bidi="ar"/>
        </w:rPr>
        <w:t>5</w:t>
      </w:r>
      <w:r>
        <w:rPr>
          <w:rFonts w:hint="eastAsia" w:ascii="仿宋_GB2312" w:hAnsi="仿宋_GB2312" w:cs="仿宋_GB2312"/>
          <w:color w:val="auto"/>
          <w:szCs w:val="32"/>
          <w:highlight w:val="none"/>
          <w:lang w:bidi="ar"/>
        </w:rPr>
        <w:t>年财政拨款资金结转结余率为</w:t>
      </w:r>
      <w:r>
        <w:rPr>
          <w:rFonts w:hint="default" w:ascii="Times New Roman" w:hAnsi="Times New Roman" w:cs="Times New Roman"/>
          <w:color w:val="auto"/>
          <w:sz w:val="32"/>
          <w:szCs w:val="32"/>
          <w:highlight w:val="none"/>
          <w:lang w:val="en-US" w:eastAsia="zh-CN" w:bidi="ar"/>
        </w:rPr>
        <w:t>0</w:t>
      </w:r>
      <w:r>
        <w:rPr>
          <w:rFonts w:hint="eastAsia" w:ascii="Times New Roman" w:hAnsi="Times New Roman" w:cs="Times New Roman"/>
          <w:color w:val="auto"/>
          <w:sz w:val="32"/>
          <w:szCs w:val="32"/>
          <w:highlight w:val="none"/>
          <w:lang w:val="en-US" w:eastAsia="zh-CN" w:bidi="ar"/>
        </w:rPr>
        <w:t>.</w:t>
      </w:r>
      <w:r>
        <w:rPr>
          <w:rFonts w:hint="default" w:ascii="Times New Roman" w:hAnsi="Times New Roman" w:cs="Times New Roman"/>
          <w:color w:val="auto"/>
          <w:sz w:val="32"/>
          <w:szCs w:val="32"/>
          <w:highlight w:val="none"/>
          <w:lang w:val="en-US" w:eastAsia="zh-CN" w:bidi="ar"/>
        </w:rPr>
        <w:t>68</w:t>
      </w:r>
      <w:r>
        <w:rPr>
          <w:rFonts w:hint="eastAsia" w:ascii="Times New Roman" w:hAnsi="Times New Roman" w:cs="Times New Roman"/>
          <w:color w:val="auto"/>
          <w:sz w:val="32"/>
          <w:szCs w:val="32"/>
          <w:highlight w:val="none"/>
          <w:lang w:bidi="ar"/>
        </w:rPr>
        <w:t>%</w:t>
      </w:r>
      <w:r>
        <w:rPr>
          <w:rFonts w:hint="eastAsia" w:ascii="仿宋_GB2312" w:hAnsi="仿宋_GB2312" w:cs="仿宋_GB2312"/>
          <w:color w:val="auto"/>
          <w:szCs w:val="32"/>
          <w:highlight w:val="none"/>
          <w:lang w:eastAsia="zh-CN" w:bidi="ar"/>
        </w:rPr>
        <w:t>；</w:t>
      </w:r>
      <w:r>
        <w:rPr>
          <w:rFonts w:hint="default" w:ascii="Times New Roman" w:hAnsi="Times New Roman" w:cs="Times New Roman"/>
          <w:color w:val="auto"/>
          <w:sz w:val="32"/>
          <w:szCs w:val="32"/>
          <w:highlight w:val="none"/>
          <w:lang w:bidi="ar"/>
        </w:rPr>
        <w:t>202</w:t>
      </w:r>
      <w:r>
        <w:rPr>
          <w:rFonts w:hint="default" w:ascii="Times New Roman" w:hAnsi="Times New Roman" w:cs="Times New Roman"/>
          <w:color w:val="auto"/>
          <w:sz w:val="32"/>
          <w:szCs w:val="32"/>
          <w:highlight w:val="none"/>
          <w:lang w:val="en-US" w:eastAsia="zh-CN" w:bidi="ar"/>
        </w:rPr>
        <w:t>5</w:t>
      </w:r>
      <w:r>
        <w:rPr>
          <w:rFonts w:hint="eastAsia" w:ascii="仿宋_GB2312" w:hAnsi="仿宋_GB2312" w:cs="仿宋_GB2312"/>
          <w:color w:val="auto"/>
          <w:szCs w:val="32"/>
          <w:highlight w:val="none"/>
          <w:lang w:bidi="ar"/>
        </w:rPr>
        <w:t>年实际政府采购金额为</w:t>
      </w:r>
      <w:r>
        <w:rPr>
          <w:rFonts w:hint="default" w:ascii="Times New Roman" w:hAnsi="Times New Roman" w:cs="Times New Roman"/>
          <w:color w:val="auto"/>
          <w:sz w:val="32"/>
          <w:szCs w:val="32"/>
          <w:highlight w:val="none"/>
          <w:lang w:val="en-US" w:eastAsia="zh-CN" w:bidi="ar"/>
        </w:rPr>
        <w:t>21</w:t>
      </w:r>
      <w:r>
        <w:rPr>
          <w:rFonts w:hint="eastAsia" w:ascii="Times New Roman" w:hAnsi="Times New Roman" w:cs="Times New Roman"/>
          <w:color w:val="auto"/>
          <w:sz w:val="32"/>
          <w:szCs w:val="32"/>
          <w:highlight w:val="none"/>
          <w:lang w:val="en-US" w:eastAsia="zh-CN" w:bidi="ar"/>
        </w:rPr>
        <w:t>.</w:t>
      </w:r>
      <w:r>
        <w:rPr>
          <w:rFonts w:hint="default" w:ascii="Times New Roman" w:hAnsi="Times New Roman" w:cs="Times New Roman"/>
          <w:color w:val="auto"/>
          <w:sz w:val="32"/>
          <w:szCs w:val="32"/>
          <w:highlight w:val="none"/>
          <w:lang w:val="en-US" w:eastAsia="zh-CN" w:bidi="ar"/>
        </w:rPr>
        <w:t>22</w:t>
      </w:r>
      <w:r>
        <w:rPr>
          <w:rFonts w:hint="eastAsia" w:ascii="仿宋_GB2312" w:hAnsi="仿宋_GB2312" w:cs="仿宋_GB2312"/>
          <w:color w:val="auto"/>
          <w:szCs w:val="32"/>
          <w:highlight w:val="none"/>
          <w:lang w:bidi="ar"/>
        </w:rPr>
        <w:t>万元，计划采购</w:t>
      </w:r>
      <w:r>
        <w:rPr>
          <w:rFonts w:hint="default" w:ascii="Times New Roman" w:hAnsi="Times New Roman" w:cs="Times New Roman"/>
          <w:color w:val="auto"/>
          <w:sz w:val="32"/>
          <w:szCs w:val="32"/>
          <w:highlight w:val="none"/>
          <w:lang w:val="en-US" w:eastAsia="zh-CN" w:bidi="ar"/>
        </w:rPr>
        <w:t>35</w:t>
      </w:r>
      <w:r>
        <w:rPr>
          <w:rFonts w:hint="eastAsia" w:ascii="仿宋_GB2312" w:hAnsi="仿宋_GB2312" w:cs="仿宋_GB2312"/>
          <w:color w:val="auto"/>
          <w:szCs w:val="32"/>
          <w:highlight w:val="none"/>
          <w:lang w:bidi="ar"/>
        </w:rPr>
        <w:t>万元。二是财务支出合法合规，重大支出需经过集体会议程序决策，资金管理、费用标准、支付符合有关制度规定，不存在超范围、超标准支出、虚列支出，截留、挤占等不符合制度规定情况，规范执行会计核算制度。三是</w:t>
      </w:r>
      <w:r>
        <w:rPr>
          <w:rFonts w:hint="eastAsia" w:ascii="仿宋_GB2312" w:hAnsi="仿宋_GB2312" w:cs="仿宋_GB2312"/>
          <w:color w:val="auto"/>
          <w:szCs w:val="32"/>
          <w:highlight w:val="none"/>
          <w:lang w:val="en-US" w:eastAsia="zh-CN" w:bidi="ar"/>
        </w:rPr>
        <w:t>部门</w:t>
      </w:r>
      <w:r>
        <w:rPr>
          <w:rFonts w:hint="eastAsia" w:ascii="仿宋_GB2312" w:hAnsi="仿宋_GB2312" w:cs="仿宋_GB2312"/>
          <w:color w:val="auto"/>
          <w:szCs w:val="32"/>
          <w:highlight w:val="none"/>
          <w:lang w:bidi="ar"/>
        </w:rPr>
        <w:t>预决算按规定内容、在规定时限和范围内公开。</w:t>
      </w:r>
    </w:p>
    <w:p w14:paraId="17D96A6C">
      <w:pPr>
        <w:keepNext w:val="0"/>
        <w:keepLines w:val="0"/>
        <w:pageBreakBefore w:val="0"/>
        <w:widowControl w:val="0"/>
        <w:kinsoku/>
        <w:wordWrap/>
        <w:overflowPunct/>
        <w:topLinePunct w:val="0"/>
        <w:autoSpaceDE/>
        <w:bidi w:val="0"/>
        <w:spacing w:line="540" w:lineRule="exact"/>
        <w:ind w:firstLine="616" w:firstLineChars="200"/>
        <w:textAlignment w:val="auto"/>
        <w:rPr>
          <w:rFonts w:ascii="仿宋_GB2312" w:hAnsi="仿宋_GB2312" w:cs="仿宋_GB2312"/>
          <w:b/>
          <w:bCs/>
          <w:color w:val="auto"/>
          <w:sz w:val="32"/>
          <w:szCs w:val="32"/>
          <w:highlight w:val="none"/>
          <w:lang w:bidi="ar"/>
        </w:rPr>
      </w:pPr>
      <w:r>
        <w:rPr>
          <w:rFonts w:hint="default" w:ascii="Times New Roman" w:hAnsi="Times New Roman" w:cs="Times New Roman"/>
          <w:b/>
          <w:bCs/>
          <w:color w:val="auto"/>
          <w:sz w:val="32"/>
          <w:szCs w:val="32"/>
          <w:highlight w:val="none"/>
          <w:lang w:bidi="ar"/>
        </w:rPr>
        <w:t>3</w:t>
      </w:r>
      <w:r>
        <w:rPr>
          <w:rFonts w:hint="eastAsia" w:ascii="仿宋_GB2312" w:hAnsi="仿宋_GB2312" w:cs="仿宋_GB2312"/>
          <w:b/>
          <w:bCs/>
          <w:color w:val="auto"/>
          <w:sz w:val="32"/>
          <w:szCs w:val="32"/>
          <w:highlight w:val="none"/>
          <w:lang w:bidi="ar"/>
        </w:rPr>
        <w:t>.项目管理</w:t>
      </w:r>
    </w:p>
    <w:p w14:paraId="1DDAD73F">
      <w:pPr>
        <w:ind w:firstLine="616" w:firstLineChars="200"/>
        <w:rPr>
          <w:rFonts w:hint="eastAsia" w:ascii="仿宋_GB2312" w:hAnsi="仿宋_GB2312" w:cs="仿宋_GB2312"/>
          <w:color w:val="auto"/>
          <w:szCs w:val="32"/>
          <w:highlight w:val="none"/>
          <w:lang w:bidi="ar"/>
        </w:rPr>
      </w:pPr>
      <w:r>
        <w:rPr>
          <w:rFonts w:hint="eastAsia" w:ascii="仿宋_GB2312" w:hAnsi="仿宋_GB2312" w:cs="仿宋_GB2312"/>
          <w:color w:val="auto"/>
          <w:szCs w:val="32"/>
          <w:highlight w:val="none"/>
          <w:lang w:bidi="ar"/>
        </w:rPr>
        <w:t>在项目管理方面，自评分数为</w:t>
      </w:r>
      <w:r>
        <w:rPr>
          <w:rFonts w:hint="default" w:ascii="Times New Roman" w:hAnsi="Times New Roman" w:cs="Times New Roman"/>
          <w:color w:val="auto"/>
          <w:sz w:val="32"/>
          <w:szCs w:val="32"/>
          <w:highlight w:val="none"/>
          <w:lang w:bidi="ar"/>
        </w:rPr>
        <w:t>8</w:t>
      </w:r>
      <w:r>
        <w:rPr>
          <w:rFonts w:hint="eastAsia" w:ascii="仿宋_GB2312" w:hAnsi="仿宋_GB2312" w:cs="仿宋_GB2312"/>
          <w:color w:val="auto"/>
          <w:szCs w:val="32"/>
          <w:highlight w:val="none"/>
          <w:lang w:bidi="ar"/>
        </w:rPr>
        <w:t>分。审计项目计划的编制严格按</w:t>
      </w:r>
      <w:r>
        <w:rPr>
          <w:rFonts w:hint="eastAsia" w:ascii="仿宋_GB2312" w:hAnsi="仿宋_GB2312" w:cs="仿宋_GB2312"/>
          <w:b w:val="0"/>
          <w:bCs w:val="0"/>
          <w:color w:val="auto"/>
          <w:szCs w:val="32"/>
          <w:highlight w:val="none"/>
          <w:lang w:bidi="ar"/>
        </w:rPr>
        <w:t>照《广东省审计厅关于印发</w:t>
      </w:r>
      <w:r>
        <w:rPr>
          <w:rFonts w:hint="default" w:ascii="Times New Roman" w:hAnsi="Times New Roman" w:cs="Times New Roman"/>
          <w:b w:val="0"/>
          <w:bCs w:val="0"/>
          <w:color w:val="auto"/>
          <w:sz w:val="32"/>
          <w:szCs w:val="32"/>
          <w:highlight w:val="none"/>
          <w:lang w:val="en-US" w:eastAsia="zh-CN" w:bidi="ar"/>
        </w:rPr>
        <w:t>2025</w:t>
      </w:r>
      <w:r>
        <w:rPr>
          <w:rFonts w:hint="eastAsia" w:ascii="仿宋_GB2312" w:hAnsi="仿宋_GB2312" w:cs="仿宋_GB2312"/>
          <w:b w:val="0"/>
          <w:bCs w:val="0"/>
          <w:color w:val="auto"/>
          <w:szCs w:val="32"/>
          <w:highlight w:val="none"/>
          <w:lang w:val="en-US" w:eastAsia="zh-CN" w:bidi="ar"/>
        </w:rPr>
        <w:t>年</w:t>
      </w:r>
      <w:r>
        <w:rPr>
          <w:rFonts w:hint="eastAsia" w:ascii="仿宋_GB2312" w:hAnsi="仿宋_GB2312" w:cs="仿宋_GB2312"/>
          <w:b w:val="0"/>
          <w:bCs w:val="0"/>
          <w:color w:val="auto"/>
          <w:szCs w:val="32"/>
          <w:highlight w:val="none"/>
          <w:lang w:bidi="ar"/>
        </w:rPr>
        <w:t>审计项目计划编制工作指导意见的通知》（粤审综〔</w:t>
      </w:r>
      <w:r>
        <w:rPr>
          <w:rFonts w:hint="default" w:ascii="Times New Roman" w:hAnsi="Times New Roman" w:cs="Times New Roman"/>
          <w:b w:val="0"/>
          <w:bCs w:val="0"/>
          <w:color w:val="auto"/>
          <w:sz w:val="32"/>
          <w:szCs w:val="32"/>
          <w:highlight w:val="none"/>
          <w:lang w:bidi="ar"/>
        </w:rPr>
        <w:t>202</w:t>
      </w:r>
      <w:r>
        <w:rPr>
          <w:rFonts w:hint="default" w:ascii="Times New Roman" w:hAnsi="Times New Roman" w:cs="Times New Roman"/>
          <w:b w:val="0"/>
          <w:bCs w:val="0"/>
          <w:color w:val="auto"/>
          <w:sz w:val="32"/>
          <w:szCs w:val="32"/>
          <w:highlight w:val="none"/>
          <w:lang w:val="en-US" w:eastAsia="zh-CN" w:bidi="ar"/>
        </w:rPr>
        <w:t>4</w:t>
      </w:r>
      <w:r>
        <w:rPr>
          <w:rFonts w:hint="eastAsia" w:ascii="仿宋_GB2312" w:hAnsi="仿宋_GB2312" w:cs="仿宋_GB2312"/>
          <w:b w:val="0"/>
          <w:bCs w:val="0"/>
          <w:color w:val="auto"/>
          <w:szCs w:val="32"/>
          <w:highlight w:val="none"/>
          <w:lang w:bidi="ar"/>
        </w:rPr>
        <w:t>〕</w:t>
      </w:r>
      <w:r>
        <w:rPr>
          <w:rFonts w:hint="default" w:ascii="Times New Roman" w:hAnsi="Times New Roman" w:cs="Times New Roman"/>
          <w:b w:val="0"/>
          <w:bCs w:val="0"/>
          <w:color w:val="auto"/>
          <w:sz w:val="32"/>
          <w:szCs w:val="32"/>
          <w:highlight w:val="none"/>
          <w:lang w:val="en-US" w:eastAsia="zh-CN" w:bidi="ar"/>
        </w:rPr>
        <w:t>76</w:t>
      </w:r>
      <w:r>
        <w:rPr>
          <w:rFonts w:hint="eastAsia" w:ascii="仿宋_GB2312" w:hAnsi="仿宋_GB2312" w:cs="仿宋_GB2312"/>
          <w:b w:val="0"/>
          <w:bCs w:val="0"/>
          <w:color w:val="auto"/>
          <w:szCs w:val="32"/>
          <w:highlight w:val="none"/>
          <w:lang w:bidi="ar"/>
        </w:rPr>
        <w:t>号）等相</w:t>
      </w:r>
      <w:r>
        <w:rPr>
          <w:rFonts w:hint="eastAsia" w:ascii="仿宋_GB2312" w:hAnsi="仿宋_GB2312" w:cs="仿宋_GB2312"/>
          <w:color w:val="auto"/>
          <w:szCs w:val="32"/>
          <w:highlight w:val="none"/>
          <w:lang w:bidi="ar"/>
        </w:rPr>
        <w:t>关文件执行，保证审计项目计划实施的可行性；审计工作需在审计时限内完成，不得随意超期拖延；项目费用需按权限经相关领导审批后才能完成支出，加强项目的监管工作。</w:t>
      </w:r>
    </w:p>
    <w:p w14:paraId="4710CF15">
      <w:pPr>
        <w:keepNext w:val="0"/>
        <w:keepLines w:val="0"/>
        <w:pageBreakBefore w:val="0"/>
        <w:widowControl w:val="0"/>
        <w:kinsoku/>
        <w:wordWrap/>
        <w:overflowPunct/>
        <w:topLinePunct w:val="0"/>
        <w:autoSpaceDE/>
        <w:bidi w:val="0"/>
        <w:spacing w:line="540" w:lineRule="exact"/>
        <w:ind w:firstLine="616" w:firstLineChars="200"/>
        <w:textAlignment w:val="auto"/>
        <w:rPr>
          <w:rFonts w:ascii="仿宋_GB2312" w:hAnsi="仿宋_GB2312" w:cs="仿宋_GB2312"/>
          <w:b/>
          <w:bCs/>
          <w:color w:val="auto"/>
          <w:sz w:val="32"/>
          <w:szCs w:val="32"/>
          <w:highlight w:val="none"/>
          <w:lang w:bidi="ar"/>
        </w:rPr>
      </w:pPr>
      <w:r>
        <w:rPr>
          <w:rFonts w:hint="default" w:ascii="Times New Roman" w:hAnsi="Times New Roman" w:cs="Times New Roman"/>
          <w:b/>
          <w:bCs/>
          <w:color w:val="auto"/>
          <w:sz w:val="32"/>
          <w:szCs w:val="32"/>
          <w:highlight w:val="none"/>
          <w:lang w:bidi="ar"/>
        </w:rPr>
        <w:t>4</w:t>
      </w:r>
      <w:r>
        <w:rPr>
          <w:rFonts w:hint="eastAsia" w:ascii="仿宋_GB2312" w:hAnsi="仿宋_GB2312" w:cs="仿宋_GB2312"/>
          <w:b/>
          <w:bCs/>
          <w:color w:val="auto"/>
          <w:sz w:val="32"/>
          <w:szCs w:val="32"/>
          <w:highlight w:val="none"/>
          <w:lang w:bidi="ar"/>
        </w:rPr>
        <w:t>.资产管理</w:t>
      </w:r>
    </w:p>
    <w:p w14:paraId="70B1E223">
      <w:pPr>
        <w:ind w:firstLine="616" w:firstLineChars="200"/>
        <w:rPr>
          <w:rFonts w:hint="eastAsia"/>
          <w:b/>
          <w:color w:val="auto"/>
          <w:sz w:val="32"/>
          <w:szCs w:val="32"/>
          <w:highlight w:val="none"/>
        </w:rPr>
      </w:pPr>
      <w:r>
        <w:rPr>
          <w:rFonts w:hint="eastAsia" w:ascii="仿宋_GB2312" w:hAnsi="仿宋_GB2312" w:cs="仿宋_GB2312"/>
          <w:color w:val="auto"/>
          <w:szCs w:val="32"/>
          <w:highlight w:val="none"/>
          <w:lang w:bidi="ar"/>
        </w:rPr>
        <w:t>在资产管理方面，自评分数为</w:t>
      </w:r>
      <w:r>
        <w:rPr>
          <w:rFonts w:hint="default" w:ascii="Times New Roman" w:hAnsi="Times New Roman" w:cs="Times New Roman"/>
          <w:color w:val="auto"/>
          <w:sz w:val="32"/>
          <w:szCs w:val="32"/>
          <w:highlight w:val="none"/>
          <w:lang w:bidi="ar"/>
        </w:rPr>
        <w:t>7</w:t>
      </w:r>
      <w:r>
        <w:rPr>
          <w:rFonts w:hint="eastAsia" w:ascii="仿宋_GB2312" w:hAnsi="仿宋_GB2312" w:cs="仿宋_GB2312"/>
          <w:color w:val="auto"/>
          <w:szCs w:val="32"/>
          <w:highlight w:val="none"/>
          <w:lang w:bidi="ar"/>
        </w:rPr>
        <w:t>分。制定了《阳西县审计局资产管理制度》，并按《行政单位国有资产管理暂行办法》等制度要求执行有关规定，资产配置合理、保管完整，不存在出租出借资产等情况；固定资产利用率大于</w:t>
      </w:r>
      <w:r>
        <w:rPr>
          <w:rFonts w:hint="default" w:ascii="Times New Roman" w:hAnsi="Times New Roman" w:cs="Times New Roman"/>
          <w:color w:val="auto"/>
          <w:sz w:val="32"/>
          <w:szCs w:val="32"/>
          <w:highlight w:val="none"/>
          <w:lang w:bidi="ar"/>
        </w:rPr>
        <w:t>90</w:t>
      </w:r>
      <w:r>
        <w:rPr>
          <w:rFonts w:hint="eastAsia" w:ascii="仿宋_GB2312" w:hAnsi="仿宋_GB2312" w:cs="仿宋_GB2312"/>
          <w:color w:val="auto"/>
          <w:szCs w:val="32"/>
          <w:highlight w:val="none"/>
          <w:lang w:bidi="ar"/>
        </w:rPr>
        <w:t>%。</w:t>
      </w:r>
    </w:p>
    <w:p w14:paraId="20D54859">
      <w:pPr>
        <w:ind w:firstLine="616" w:firstLineChars="200"/>
        <w:rPr>
          <w:rFonts w:hint="eastAsia" w:ascii="楷体" w:hAnsi="楷体" w:eastAsia="楷体" w:cs="楷体"/>
          <w:b w:val="0"/>
          <w:bCs/>
          <w:color w:val="auto"/>
          <w:highlight w:val="none"/>
        </w:rPr>
      </w:pPr>
      <w:bookmarkStart w:id="21" w:name="_Toc26860"/>
      <w:bookmarkStart w:id="22" w:name="_Toc15901_WPSOffice_Level2"/>
      <w:bookmarkStart w:id="23" w:name="_Toc14900"/>
      <w:bookmarkStart w:id="24" w:name="_Toc20443_WPSOffice_Level3"/>
      <w:r>
        <w:rPr>
          <w:rFonts w:hint="eastAsia" w:ascii="楷体" w:hAnsi="楷体" w:eastAsia="楷体" w:cs="楷体"/>
          <w:b w:val="0"/>
          <w:bCs/>
          <w:color w:val="auto"/>
          <w:highlight w:val="none"/>
        </w:rPr>
        <w:t>（三）</w:t>
      </w:r>
      <w:bookmarkEnd w:id="21"/>
      <w:bookmarkEnd w:id="22"/>
      <w:bookmarkEnd w:id="23"/>
      <w:bookmarkEnd w:id="24"/>
      <w:r>
        <w:rPr>
          <w:rFonts w:hint="eastAsia" w:ascii="楷体" w:hAnsi="楷体" w:eastAsia="楷体" w:cs="楷体"/>
          <w:b w:val="0"/>
          <w:bCs/>
          <w:color w:val="auto"/>
          <w:highlight w:val="none"/>
        </w:rPr>
        <w:t>预算使用效益</w:t>
      </w:r>
    </w:p>
    <w:p w14:paraId="27EF49B7">
      <w:pPr>
        <w:keepNext w:val="0"/>
        <w:keepLines w:val="0"/>
        <w:pageBreakBefore w:val="0"/>
        <w:widowControl w:val="0"/>
        <w:kinsoku/>
        <w:wordWrap/>
        <w:overflowPunct/>
        <w:topLinePunct w:val="0"/>
        <w:autoSpaceDE/>
        <w:bidi w:val="0"/>
        <w:spacing w:line="540" w:lineRule="exact"/>
        <w:ind w:firstLine="616" w:firstLineChars="200"/>
        <w:textAlignment w:val="auto"/>
        <w:rPr>
          <w:rFonts w:hint="eastAsia" w:ascii="Times New Roman" w:hAnsi="Times New Roman" w:cs="Times New Roman"/>
          <w:b/>
          <w:bCs/>
          <w:color w:val="auto"/>
          <w:sz w:val="32"/>
          <w:szCs w:val="32"/>
          <w:highlight w:val="none"/>
          <w:lang w:bidi="ar"/>
        </w:rPr>
      </w:pPr>
      <w:bookmarkStart w:id="25" w:name="_Toc18975"/>
      <w:r>
        <w:rPr>
          <w:rFonts w:hint="default" w:ascii="Times New Roman" w:hAnsi="Times New Roman" w:cs="Times New Roman"/>
          <w:b/>
          <w:bCs/>
          <w:color w:val="auto"/>
          <w:sz w:val="32"/>
          <w:szCs w:val="32"/>
          <w:highlight w:val="none"/>
          <w:lang w:val="en-US" w:eastAsia="zh-CN" w:bidi="ar"/>
        </w:rPr>
        <w:t>1</w:t>
      </w:r>
      <w:r>
        <w:rPr>
          <w:rFonts w:hint="eastAsia" w:ascii="Times New Roman" w:hAnsi="Times New Roman" w:cs="Times New Roman"/>
          <w:b/>
          <w:bCs/>
          <w:color w:val="auto"/>
          <w:sz w:val="32"/>
          <w:szCs w:val="32"/>
          <w:highlight w:val="none"/>
          <w:lang w:val="en-US" w:eastAsia="zh-CN" w:bidi="ar"/>
        </w:rPr>
        <w:t>.</w:t>
      </w:r>
      <w:r>
        <w:rPr>
          <w:rFonts w:hint="eastAsia" w:ascii="Times New Roman" w:hAnsi="Times New Roman" w:cs="Times New Roman"/>
          <w:b/>
          <w:bCs/>
          <w:color w:val="auto"/>
          <w:sz w:val="32"/>
          <w:szCs w:val="32"/>
          <w:highlight w:val="none"/>
          <w:lang w:bidi="ar"/>
        </w:rPr>
        <w:t>经济性</w:t>
      </w:r>
    </w:p>
    <w:p w14:paraId="31812039">
      <w:pPr>
        <w:ind w:firstLine="616" w:firstLineChars="200"/>
        <w:rPr>
          <w:rFonts w:hint="eastAsia" w:ascii="仿宋_GB2312" w:hAnsi="仿宋_GB2312" w:eastAsia="仿宋_GB2312" w:cs="仿宋_GB2312"/>
          <w:color w:val="auto"/>
          <w:szCs w:val="32"/>
          <w:highlight w:val="none"/>
          <w:lang w:eastAsia="zh-CN" w:bidi="ar"/>
        </w:rPr>
      </w:pPr>
      <w:r>
        <w:rPr>
          <w:rFonts w:hint="eastAsia" w:ascii="仿宋_GB2312" w:hAnsi="仿宋_GB2312" w:cs="仿宋_GB2312"/>
          <w:color w:val="auto"/>
          <w:szCs w:val="32"/>
          <w:highlight w:val="none"/>
          <w:lang w:val="en-US" w:eastAsia="zh-CN" w:bidi="ar"/>
        </w:rPr>
        <w:t>在经济性</w:t>
      </w:r>
      <w:r>
        <w:rPr>
          <w:rFonts w:hint="eastAsia" w:ascii="仿宋_GB2312" w:hAnsi="仿宋_GB2312" w:cs="仿宋_GB2312"/>
          <w:color w:val="auto"/>
          <w:szCs w:val="32"/>
          <w:highlight w:val="none"/>
          <w:lang w:bidi="ar"/>
        </w:rPr>
        <w:t>方面，自评分数为</w:t>
      </w:r>
      <w:r>
        <w:rPr>
          <w:rFonts w:hint="default" w:ascii="Times New Roman" w:hAnsi="Times New Roman" w:cs="Times New Roman"/>
          <w:color w:val="auto"/>
          <w:sz w:val="32"/>
          <w:szCs w:val="32"/>
          <w:highlight w:val="none"/>
          <w:lang w:bidi="ar"/>
        </w:rPr>
        <w:t>5</w:t>
      </w:r>
      <w:r>
        <w:rPr>
          <w:rFonts w:hint="eastAsia" w:ascii="仿宋_GB2312" w:hAnsi="仿宋_GB2312" w:cs="仿宋_GB2312"/>
          <w:color w:val="auto"/>
          <w:szCs w:val="32"/>
          <w:highlight w:val="none"/>
          <w:lang w:bidi="ar"/>
        </w:rPr>
        <w:t>分。“三公”经费实际支出数及公用经费决算数均在预算范围内，对机构运转成本的实际控制较好</w:t>
      </w:r>
      <w:r>
        <w:rPr>
          <w:rFonts w:hint="eastAsia" w:ascii="仿宋_GB2312" w:hAnsi="仿宋_GB2312" w:cs="仿宋_GB2312"/>
          <w:color w:val="auto"/>
          <w:szCs w:val="32"/>
          <w:highlight w:val="none"/>
          <w:lang w:eastAsia="zh-CN" w:bidi="ar"/>
        </w:rPr>
        <w:t>，</w:t>
      </w:r>
      <w:r>
        <w:rPr>
          <w:rFonts w:hint="eastAsia" w:ascii="仿宋_GB2312" w:hAnsi="仿宋_GB2312" w:cs="仿宋_GB2312"/>
          <w:color w:val="auto"/>
          <w:szCs w:val="32"/>
          <w:highlight w:val="none"/>
          <w:lang w:val="en-US" w:eastAsia="zh-CN" w:bidi="ar"/>
        </w:rPr>
        <w:t>其中“三公”经费实际支出</w:t>
      </w:r>
      <w:r>
        <w:rPr>
          <w:rFonts w:hint="default" w:ascii="Times New Roman" w:hAnsi="Times New Roman" w:cs="Times New Roman"/>
          <w:color w:val="auto"/>
          <w:sz w:val="32"/>
          <w:szCs w:val="32"/>
          <w:highlight w:val="none"/>
          <w:lang w:val="en-US" w:eastAsia="zh-CN" w:bidi="ar"/>
        </w:rPr>
        <w:t>1</w:t>
      </w:r>
      <w:r>
        <w:rPr>
          <w:rFonts w:hint="eastAsia" w:ascii="Times New Roman" w:hAnsi="Times New Roman" w:cs="Times New Roman"/>
          <w:color w:val="auto"/>
          <w:sz w:val="32"/>
          <w:szCs w:val="32"/>
          <w:highlight w:val="none"/>
          <w:lang w:val="en-US" w:eastAsia="zh-CN" w:bidi="ar"/>
        </w:rPr>
        <w:t>.</w:t>
      </w:r>
      <w:r>
        <w:rPr>
          <w:rFonts w:hint="default" w:ascii="Times New Roman" w:hAnsi="Times New Roman" w:cs="Times New Roman"/>
          <w:color w:val="auto"/>
          <w:sz w:val="32"/>
          <w:szCs w:val="32"/>
          <w:highlight w:val="none"/>
          <w:lang w:val="en-US" w:eastAsia="zh-CN" w:bidi="ar"/>
        </w:rPr>
        <w:t>69</w:t>
      </w:r>
      <w:r>
        <w:rPr>
          <w:rFonts w:hint="eastAsia" w:ascii="仿宋_GB2312" w:hAnsi="仿宋_GB2312" w:cs="仿宋_GB2312"/>
          <w:color w:val="auto"/>
          <w:szCs w:val="32"/>
          <w:highlight w:val="none"/>
          <w:lang w:val="en-US" w:eastAsia="zh-CN" w:bidi="ar"/>
        </w:rPr>
        <w:t>万元，预算安排“三公”经费</w:t>
      </w:r>
      <w:r>
        <w:rPr>
          <w:rFonts w:hint="default" w:ascii="Times New Roman" w:hAnsi="Times New Roman" w:cs="Times New Roman"/>
          <w:color w:val="auto"/>
          <w:sz w:val="32"/>
          <w:szCs w:val="32"/>
          <w:highlight w:val="none"/>
          <w:lang w:val="en-US" w:eastAsia="zh-CN" w:bidi="ar"/>
        </w:rPr>
        <w:t>12</w:t>
      </w:r>
      <w:r>
        <w:rPr>
          <w:rFonts w:hint="eastAsia" w:ascii="仿宋_GB2312" w:hAnsi="仿宋_GB2312" w:cs="仿宋_GB2312"/>
          <w:color w:val="auto"/>
          <w:szCs w:val="32"/>
          <w:highlight w:val="none"/>
          <w:lang w:val="en-US" w:eastAsia="zh-CN" w:bidi="ar"/>
        </w:rPr>
        <w:t>.</w:t>
      </w:r>
      <w:r>
        <w:rPr>
          <w:rFonts w:hint="default" w:ascii="Times New Roman" w:hAnsi="Times New Roman" w:cs="Times New Roman"/>
          <w:color w:val="auto"/>
          <w:sz w:val="32"/>
          <w:szCs w:val="32"/>
          <w:highlight w:val="none"/>
          <w:lang w:val="en-US" w:eastAsia="zh-CN" w:bidi="ar"/>
        </w:rPr>
        <w:t>20</w:t>
      </w:r>
      <w:r>
        <w:rPr>
          <w:rFonts w:hint="eastAsia" w:ascii="仿宋_GB2312" w:hAnsi="仿宋_GB2312" w:cs="仿宋_GB2312"/>
          <w:color w:val="auto"/>
          <w:szCs w:val="32"/>
          <w:highlight w:val="none"/>
          <w:lang w:val="en-US" w:eastAsia="zh-CN" w:bidi="ar"/>
        </w:rPr>
        <w:t>万元，日常公用经费决算数</w:t>
      </w:r>
      <w:r>
        <w:rPr>
          <w:rFonts w:hint="default" w:ascii="Times New Roman" w:hAnsi="Times New Roman" w:cs="Times New Roman"/>
          <w:color w:val="auto"/>
          <w:sz w:val="32"/>
          <w:szCs w:val="32"/>
          <w:highlight w:val="none"/>
          <w:lang w:val="en-US" w:eastAsia="zh-CN" w:bidi="ar"/>
        </w:rPr>
        <w:t>23</w:t>
      </w:r>
      <w:r>
        <w:rPr>
          <w:rFonts w:hint="eastAsia" w:cs="Times New Roman"/>
          <w:color w:val="auto"/>
          <w:sz w:val="32"/>
          <w:szCs w:val="32"/>
          <w:highlight w:val="none"/>
          <w:lang w:val="en-US" w:eastAsia="zh-CN" w:bidi="ar"/>
        </w:rPr>
        <w:t>.</w:t>
      </w:r>
      <w:r>
        <w:rPr>
          <w:rFonts w:hint="default" w:ascii="Times New Roman" w:hAnsi="Times New Roman" w:cs="Times New Roman"/>
          <w:color w:val="auto"/>
          <w:sz w:val="32"/>
          <w:szCs w:val="32"/>
          <w:highlight w:val="none"/>
          <w:lang w:val="en-US" w:eastAsia="zh-CN" w:bidi="ar"/>
        </w:rPr>
        <w:t>36</w:t>
      </w:r>
      <w:r>
        <w:rPr>
          <w:rFonts w:hint="eastAsia" w:ascii="仿宋_GB2312" w:hAnsi="仿宋_GB2312" w:cs="仿宋_GB2312"/>
          <w:color w:val="auto"/>
          <w:szCs w:val="32"/>
          <w:highlight w:val="none"/>
          <w:lang w:val="en-US" w:eastAsia="zh-CN" w:bidi="ar"/>
        </w:rPr>
        <w:t>万元，预算数为</w:t>
      </w:r>
      <w:r>
        <w:rPr>
          <w:rFonts w:hint="default" w:ascii="Times New Roman" w:hAnsi="Times New Roman" w:cs="Times New Roman"/>
          <w:color w:val="auto"/>
          <w:sz w:val="32"/>
          <w:szCs w:val="32"/>
          <w:highlight w:val="none"/>
          <w:lang w:val="en-US" w:eastAsia="zh-CN" w:bidi="ar"/>
        </w:rPr>
        <w:t>24</w:t>
      </w:r>
      <w:r>
        <w:rPr>
          <w:rFonts w:hint="eastAsia" w:cs="Times New Roman"/>
          <w:color w:val="auto"/>
          <w:sz w:val="32"/>
          <w:szCs w:val="32"/>
          <w:highlight w:val="none"/>
          <w:lang w:val="en-US" w:eastAsia="zh-CN" w:bidi="ar"/>
        </w:rPr>
        <w:t>.</w:t>
      </w:r>
      <w:r>
        <w:rPr>
          <w:rFonts w:hint="default" w:ascii="Times New Roman" w:hAnsi="Times New Roman" w:cs="Times New Roman"/>
          <w:color w:val="auto"/>
          <w:sz w:val="32"/>
          <w:szCs w:val="32"/>
          <w:highlight w:val="none"/>
          <w:lang w:val="en-US" w:eastAsia="zh-CN" w:bidi="ar"/>
        </w:rPr>
        <w:t>23</w:t>
      </w:r>
      <w:r>
        <w:rPr>
          <w:rFonts w:hint="eastAsia" w:ascii="仿宋_GB2312" w:hAnsi="仿宋_GB2312" w:cs="仿宋_GB2312"/>
          <w:color w:val="auto"/>
          <w:szCs w:val="32"/>
          <w:highlight w:val="none"/>
          <w:lang w:val="en-US" w:eastAsia="zh-CN" w:bidi="ar"/>
        </w:rPr>
        <w:t>万元</w:t>
      </w:r>
      <w:r>
        <w:rPr>
          <w:rFonts w:hint="eastAsia" w:ascii="仿宋_GB2312" w:hAnsi="仿宋_GB2312" w:cs="仿宋_GB2312"/>
          <w:color w:val="auto"/>
          <w:szCs w:val="32"/>
          <w:highlight w:val="none"/>
          <w:lang w:eastAsia="zh-CN" w:bidi="ar"/>
        </w:rPr>
        <w:t>。</w:t>
      </w:r>
    </w:p>
    <w:p w14:paraId="045E1E0E">
      <w:pPr>
        <w:keepNext w:val="0"/>
        <w:keepLines w:val="0"/>
        <w:pageBreakBefore w:val="0"/>
        <w:widowControl w:val="0"/>
        <w:kinsoku/>
        <w:wordWrap/>
        <w:overflowPunct/>
        <w:topLinePunct w:val="0"/>
        <w:autoSpaceDE/>
        <w:bidi w:val="0"/>
        <w:spacing w:line="540" w:lineRule="exact"/>
        <w:ind w:firstLine="616" w:firstLineChars="200"/>
        <w:textAlignment w:val="auto"/>
        <w:rPr>
          <w:rFonts w:hint="eastAsia" w:ascii="Times New Roman" w:hAnsi="Times New Roman" w:cs="Times New Roman"/>
          <w:b/>
          <w:bCs/>
          <w:color w:val="auto"/>
          <w:sz w:val="32"/>
          <w:szCs w:val="32"/>
          <w:highlight w:val="none"/>
          <w:lang w:bidi="ar"/>
        </w:rPr>
      </w:pPr>
      <w:r>
        <w:rPr>
          <w:rFonts w:hint="default" w:ascii="Times New Roman" w:hAnsi="Times New Roman" w:cs="Times New Roman"/>
          <w:b/>
          <w:bCs/>
          <w:color w:val="auto"/>
          <w:sz w:val="32"/>
          <w:szCs w:val="32"/>
          <w:highlight w:val="none"/>
          <w:lang w:val="en-US" w:eastAsia="zh-CN" w:bidi="ar"/>
        </w:rPr>
        <w:t>2</w:t>
      </w:r>
      <w:r>
        <w:rPr>
          <w:rFonts w:hint="eastAsia" w:ascii="Times New Roman" w:hAnsi="Times New Roman" w:cs="Times New Roman"/>
          <w:b/>
          <w:bCs/>
          <w:color w:val="auto"/>
          <w:sz w:val="32"/>
          <w:szCs w:val="32"/>
          <w:highlight w:val="none"/>
          <w:lang w:val="en-US" w:eastAsia="zh-CN" w:bidi="ar"/>
        </w:rPr>
        <w:t>.</w:t>
      </w:r>
      <w:r>
        <w:rPr>
          <w:rFonts w:hint="eastAsia" w:ascii="Times New Roman" w:hAnsi="Times New Roman" w:cs="Times New Roman"/>
          <w:b/>
          <w:bCs/>
          <w:color w:val="auto"/>
          <w:sz w:val="32"/>
          <w:szCs w:val="32"/>
          <w:highlight w:val="none"/>
          <w:lang w:bidi="ar"/>
        </w:rPr>
        <w:t>效率性</w:t>
      </w:r>
    </w:p>
    <w:p w14:paraId="1C824554">
      <w:pPr>
        <w:numPr>
          <w:ilvl w:val="0"/>
          <w:numId w:val="0"/>
        </w:numPr>
        <w:ind w:firstLine="616" w:firstLineChars="200"/>
        <w:rPr>
          <w:rFonts w:hint="eastAsia" w:ascii="仿宋_GB2312" w:hAnsi="仿宋_GB2312" w:cs="仿宋_GB2312"/>
          <w:color w:val="auto"/>
          <w:szCs w:val="32"/>
          <w:highlight w:val="none"/>
          <w:lang w:eastAsia="zh-CN" w:bidi="ar"/>
        </w:rPr>
      </w:pPr>
      <w:r>
        <w:rPr>
          <w:rFonts w:hint="eastAsia" w:ascii="仿宋_GB2312" w:hAnsi="仿宋_GB2312" w:cs="仿宋_GB2312"/>
          <w:color w:val="auto"/>
          <w:szCs w:val="32"/>
          <w:highlight w:val="none"/>
          <w:lang w:val="en-US" w:eastAsia="zh-CN" w:bidi="ar"/>
        </w:rPr>
        <w:t>在</w:t>
      </w:r>
      <w:r>
        <w:rPr>
          <w:rFonts w:hint="eastAsia" w:ascii="仿宋_GB2312" w:hAnsi="仿宋_GB2312" w:cs="仿宋_GB2312"/>
          <w:color w:val="auto"/>
          <w:szCs w:val="32"/>
          <w:highlight w:val="none"/>
          <w:lang w:bidi="ar"/>
        </w:rPr>
        <w:t>效率性方面，自评分数为</w:t>
      </w:r>
      <w:r>
        <w:rPr>
          <w:rFonts w:hint="default" w:ascii="Times New Roman" w:hAnsi="Times New Roman" w:cs="Times New Roman"/>
          <w:color w:val="auto"/>
          <w:sz w:val="32"/>
          <w:szCs w:val="32"/>
          <w:highlight w:val="none"/>
          <w:lang w:bidi="ar"/>
        </w:rPr>
        <w:t>10</w:t>
      </w:r>
      <w:r>
        <w:rPr>
          <w:rFonts w:hint="eastAsia" w:ascii="仿宋_GB2312" w:hAnsi="仿宋_GB2312" w:cs="仿宋_GB2312"/>
          <w:color w:val="auto"/>
          <w:szCs w:val="32"/>
          <w:highlight w:val="none"/>
          <w:lang w:bidi="ar"/>
        </w:rPr>
        <w:t>分。按计划完成各项审计项目、完成县委县政府、上级审计机关等下达或部署的各项重点工作</w:t>
      </w:r>
      <w:r>
        <w:rPr>
          <w:rFonts w:hint="eastAsia" w:ascii="仿宋_GB2312" w:hAnsi="仿宋_GB2312" w:cs="仿宋_GB2312"/>
          <w:color w:val="auto"/>
          <w:szCs w:val="32"/>
          <w:highlight w:val="none"/>
          <w:lang w:eastAsia="zh-CN" w:bidi="ar"/>
        </w:rPr>
        <w:t>。</w:t>
      </w:r>
    </w:p>
    <w:p w14:paraId="343CC258">
      <w:pPr>
        <w:keepNext w:val="0"/>
        <w:keepLines w:val="0"/>
        <w:pageBreakBefore w:val="0"/>
        <w:widowControl w:val="0"/>
        <w:kinsoku/>
        <w:wordWrap/>
        <w:overflowPunct/>
        <w:topLinePunct w:val="0"/>
        <w:autoSpaceDE/>
        <w:bidi w:val="0"/>
        <w:spacing w:line="540" w:lineRule="exact"/>
        <w:ind w:firstLine="616" w:firstLineChars="200"/>
        <w:textAlignment w:val="auto"/>
        <w:rPr>
          <w:rFonts w:hint="eastAsia" w:ascii="Times New Roman" w:hAnsi="Times New Roman" w:cs="Times New Roman"/>
          <w:b/>
          <w:bCs/>
          <w:color w:val="auto"/>
          <w:sz w:val="32"/>
          <w:szCs w:val="32"/>
          <w:highlight w:val="none"/>
          <w:lang w:bidi="ar"/>
        </w:rPr>
      </w:pPr>
      <w:bookmarkStart w:id="26" w:name="_Toc15830"/>
      <w:r>
        <w:rPr>
          <w:rFonts w:hint="default" w:ascii="Times New Roman" w:hAnsi="Times New Roman" w:cs="Times New Roman"/>
          <w:b/>
          <w:bCs/>
          <w:color w:val="auto"/>
          <w:sz w:val="32"/>
          <w:szCs w:val="32"/>
          <w:highlight w:val="none"/>
          <w:lang w:bidi="ar"/>
        </w:rPr>
        <w:t>3</w:t>
      </w:r>
      <w:r>
        <w:rPr>
          <w:rFonts w:hint="eastAsia" w:ascii="Times New Roman" w:hAnsi="Times New Roman" w:cs="Times New Roman"/>
          <w:b/>
          <w:bCs/>
          <w:color w:val="auto"/>
          <w:sz w:val="32"/>
          <w:szCs w:val="32"/>
          <w:highlight w:val="none"/>
          <w:lang w:bidi="ar"/>
        </w:rPr>
        <w:t>.效果性</w:t>
      </w:r>
      <w:bookmarkEnd w:id="26"/>
    </w:p>
    <w:p w14:paraId="3BC836C2">
      <w:pPr>
        <w:ind w:firstLine="616" w:firstLineChars="200"/>
        <w:rPr>
          <w:rFonts w:hint="eastAsia" w:ascii="仿宋_GB2312" w:hAnsi="仿宋_GB2312" w:cs="仿宋_GB2312"/>
          <w:color w:val="auto"/>
          <w:szCs w:val="32"/>
          <w:highlight w:val="none"/>
          <w:lang w:eastAsia="zh-CN" w:bidi="ar"/>
        </w:rPr>
      </w:pPr>
      <w:r>
        <w:rPr>
          <w:rFonts w:hint="eastAsia" w:ascii="仿宋_GB2312" w:hAnsi="仿宋_GB2312" w:cs="仿宋_GB2312"/>
          <w:color w:val="auto"/>
          <w:szCs w:val="32"/>
          <w:highlight w:val="none"/>
          <w:lang w:bidi="ar"/>
        </w:rPr>
        <w:t>在效果性方面，自评分数为</w:t>
      </w:r>
      <w:r>
        <w:rPr>
          <w:rFonts w:hint="default" w:ascii="Times New Roman" w:hAnsi="Times New Roman" w:cs="Times New Roman"/>
          <w:color w:val="auto"/>
          <w:sz w:val="32"/>
          <w:szCs w:val="32"/>
          <w:highlight w:val="none"/>
          <w:lang w:bidi="ar"/>
        </w:rPr>
        <w:t>20</w:t>
      </w:r>
      <w:r>
        <w:rPr>
          <w:rFonts w:hint="eastAsia" w:ascii="仿宋_GB2312" w:hAnsi="仿宋_GB2312" w:cs="仿宋_GB2312"/>
          <w:color w:val="auto"/>
          <w:szCs w:val="32"/>
          <w:highlight w:val="none"/>
          <w:lang w:bidi="ar"/>
        </w:rPr>
        <w:t>分。通过提出审计建议及督促被审计单位整改审计查出问题，加强国家监督，提高财政资金使用效益，促进廉政建设</w:t>
      </w:r>
      <w:r>
        <w:rPr>
          <w:rFonts w:hint="eastAsia" w:ascii="仿宋_GB2312" w:hAnsi="仿宋_GB2312" w:cs="仿宋_GB2312"/>
          <w:color w:val="auto"/>
          <w:szCs w:val="32"/>
          <w:highlight w:val="none"/>
          <w:lang w:eastAsia="zh-CN" w:bidi="ar"/>
        </w:rPr>
        <w:t>，</w:t>
      </w:r>
      <w:r>
        <w:rPr>
          <w:rFonts w:hint="eastAsia" w:ascii="仿宋_GB2312" w:hAnsi="仿宋_GB2312" w:eastAsia="仿宋_GB2312" w:cs="仿宋_GB2312"/>
          <w:color w:val="auto"/>
          <w:kern w:val="2"/>
          <w:sz w:val="32"/>
          <w:szCs w:val="32"/>
          <w:highlight w:val="none"/>
          <w:lang w:val="en-US" w:eastAsia="zh-CN" w:bidi="ar-SA"/>
        </w:rPr>
        <w:t>切实发挥审计工作“治已病、防未病”的重要作用</w:t>
      </w:r>
      <w:r>
        <w:rPr>
          <w:rFonts w:hint="eastAsia" w:ascii="仿宋_GB2312" w:hAnsi="仿宋_GB2312" w:cs="仿宋_GB2312"/>
          <w:color w:val="auto"/>
          <w:szCs w:val="32"/>
          <w:highlight w:val="none"/>
          <w:lang w:eastAsia="zh-CN" w:bidi="ar"/>
        </w:rPr>
        <w:t>。</w:t>
      </w:r>
    </w:p>
    <w:p w14:paraId="463BA9C5">
      <w:pPr>
        <w:keepNext w:val="0"/>
        <w:keepLines w:val="0"/>
        <w:pageBreakBefore w:val="0"/>
        <w:widowControl w:val="0"/>
        <w:kinsoku/>
        <w:wordWrap/>
        <w:overflowPunct/>
        <w:topLinePunct w:val="0"/>
        <w:autoSpaceDE/>
        <w:bidi w:val="0"/>
        <w:spacing w:line="540" w:lineRule="exact"/>
        <w:ind w:firstLine="616" w:firstLineChars="200"/>
        <w:textAlignment w:val="auto"/>
        <w:rPr>
          <w:rFonts w:hint="eastAsia" w:ascii="Times New Roman" w:hAnsi="Times New Roman" w:cs="Times New Roman"/>
          <w:b/>
          <w:bCs/>
          <w:color w:val="auto"/>
          <w:sz w:val="32"/>
          <w:szCs w:val="32"/>
          <w:highlight w:val="none"/>
          <w:lang w:bidi="ar"/>
        </w:rPr>
      </w:pPr>
      <w:r>
        <w:rPr>
          <w:rFonts w:hint="default" w:ascii="Times New Roman" w:hAnsi="Times New Roman" w:cs="Times New Roman"/>
          <w:b/>
          <w:bCs/>
          <w:color w:val="auto"/>
          <w:sz w:val="32"/>
          <w:szCs w:val="32"/>
          <w:highlight w:val="none"/>
          <w:lang w:val="en-US" w:eastAsia="zh-CN" w:bidi="ar"/>
        </w:rPr>
        <w:t>4</w:t>
      </w:r>
      <w:r>
        <w:rPr>
          <w:rFonts w:hint="eastAsia" w:ascii="Times New Roman" w:hAnsi="Times New Roman" w:cs="Times New Roman"/>
          <w:b/>
          <w:bCs/>
          <w:color w:val="auto"/>
          <w:sz w:val="32"/>
          <w:szCs w:val="32"/>
          <w:highlight w:val="none"/>
          <w:lang w:val="en-US" w:eastAsia="zh-CN" w:bidi="ar"/>
        </w:rPr>
        <w:t>.</w:t>
      </w:r>
      <w:r>
        <w:rPr>
          <w:rFonts w:hint="eastAsia" w:ascii="Times New Roman" w:hAnsi="Times New Roman" w:cs="Times New Roman"/>
          <w:b/>
          <w:bCs/>
          <w:color w:val="auto"/>
          <w:sz w:val="32"/>
          <w:szCs w:val="32"/>
          <w:highlight w:val="none"/>
          <w:lang w:bidi="ar"/>
        </w:rPr>
        <w:t>公平性</w:t>
      </w:r>
    </w:p>
    <w:p w14:paraId="08686ECA">
      <w:pPr>
        <w:ind w:firstLine="616" w:firstLineChars="200"/>
        <w:rPr>
          <w:color w:val="auto"/>
          <w:highlight w:val="none"/>
        </w:rPr>
      </w:pPr>
      <w:r>
        <w:rPr>
          <w:rFonts w:hint="eastAsia" w:ascii="仿宋_GB2312" w:hAnsi="仿宋_GB2312" w:cs="仿宋_GB2312"/>
          <w:color w:val="auto"/>
          <w:szCs w:val="32"/>
          <w:highlight w:val="none"/>
          <w:lang w:bidi="ar"/>
        </w:rPr>
        <w:t>在公平性方面，自评分数为</w:t>
      </w:r>
      <w:r>
        <w:rPr>
          <w:rFonts w:hint="default" w:ascii="Times New Roman" w:hAnsi="Times New Roman" w:cs="Times New Roman"/>
          <w:color w:val="auto"/>
          <w:sz w:val="32"/>
          <w:szCs w:val="32"/>
          <w:highlight w:val="none"/>
          <w:lang w:bidi="ar"/>
        </w:rPr>
        <w:t>5</w:t>
      </w:r>
      <w:r>
        <w:rPr>
          <w:rFonts w:hint="eastAsia" w:ascii="仿宋_GB2312" w:hAnsi="仿宋_GB2312" w:cs="仿宋_GB2312"/>
          <w:color w:val="auto"/>
          <w:szCs w:val="32"/>
          <w:highlight w:val="none"/>
          <w:lang w:bidi="ar"/>
        </w:rPr>
        <w:t>分。制定了《党风廉政</w:t>
      </w:r>
      <w:r>
        <w:rPr>
          <w:rFonts w:hint="eastAsia" w:ascii="仿宋_GB2312" w:hAnsi="仿宋_GB2312" w:cs="仿宋_GB2312"/>
          <w:color w:val="auto"/>
          <w:szCs w:val="32"/>
          <w:highlight w:val="none"/>
          <w:lang w:val="en-US" w:eastAsia="zh-CN" w:bidi="ar"/>
        </w:rPr>
        <w:t>建设责任制配套</w:t>
      </w:r>
      <w:r>
        <w:rPr>
          <w:rFonts w:hint="eastAsia" w:ascii="仿宋_GB2312" w:hAnsi="仿宋_GB2312" w:cs="仿宋_GB2312"/>
          <w:color w:val="auto"/>
          <w:szCs w:val="32"/>
          <w:highlight w:val="none"/>
          <w:lang w:bidi="ar"/>
        </w:rPr>
        <w:t>制度》，高度重视群众信访办理情况，对群众信访意见及时回复。</w:t>
      </w:r>
    </w:p>
    <w:p w14:paraId="68E62FA2">
      <w:pPr>
        <w:ind w:firstLine="616" w:firstLineChars="200"/>
        <w:rPr>
          <w:rFonts w:ascii="方正小标宋简体" w:eastAsia="方正小标宋简体"/>
          <w:color w:val="auto"/>
          <w:highlight w:val="none"/>
        </w:rPr>
      </w:pPr>
      <w:r>
        <w:rPr>
          <w:rFonts w:hint="eastAsia" w:ascii="方正小标宋简体" w:eastAsia="方正小标宋简体"/>
          <w:color w:val="auto"/>
          <w:highlight w:val="none"/>
        </w:rPr>
        <w:t>四、存在的问题、原因分析及改进措施</w:t>
      </w:r>
    </w:p>
    <w:p w14:paraId="153EB387">
      <w:pPr>
        <w:ind w:firstLine="616" w:firstLineChars="200"/>
        <w:rPr>
          <w:rFonts w:hint="eastAsia"/>
          <w:color w:val="auto"/>
          <w:highlight w:val="none"/>
        </w:rPr>
      </w:pPr>
      <w:r>
        <w:rPr>
          <w:rFonts w:hint="eastAsia"/>
          <w:color w:val="auto"/>
          <w:highlight w:val="none"/>
        </w:rPr>
        <w:t>存在问题：在资金使用方面，个别指标预算执行率低。</w:t>
      </w:r>
    </w:p>
    <w:p w14:paraId="53A6A002">
      <w:pPr>
        <w:ind w:firstLine="616" w:firstLineChars="200"/>
        <w:rPr>
          <w:rFonts w:hint="eastAsia"/>
          <w:color w:val="auto"/>
          <w:highlight w:val="none"/>
        </w:rPr>
      </w:pPr>
      <w:r>
        <w:rPr>
          <w:rFonts w:hint="eastAsia"/>
          <w:color w:val="auto"/>
          <w:highlight w:val="none"/>
        </w:rPr>
        <w:t>原因分析：因政策要求，压减相关支出。</w:t>
      </w:r>
    </w:p>
    <w:p w14:paraId="4164469A">
      <w:pPr>
        <w:ind w:firstLine="616" w:firstLineChars="200"/>
        <w:rPr>
          <w:color w:val="auto"/>
          <w:highlight w:val="none"/>
        </w:rPr>
      </w:pPr>
      <w:r>
        <w:rPr>
          <w:rFonts w:hint="eastAsia"/>
          <w:color w:val="auto"/>
          <w:highlight w:val="none"/>
        </w:rPr>
        <w:t>改进措施：</w:t>
      </w:r>
      <w:r>
        <w:rPr>
          <w:rFonts w:hint="eastAsia"/>
          <w:color w:val="auto"/>
          <w:highlight w:val="none"/>
          <w:lang w:val="en-US" w:eastAsia="zh-CN"/>
        </w:rPr>
        <w:t>根据本单位的实际情况</w:t>
      </w:r>
      <w:r>
        <w:rPr>
          <w:rFonts w:hint="eastAsia"/>
          <w:color w:val="auto"/>
          <w:highlight w:val="none"/>
        </w:rPr>
        <w:t>，科学</w:t>
      </w:r>
      <w:r>
        <w:rPr>
          <w:rFonts w:hint="eastAsia"/>
          <w:color w:val="auto"/>
          <w:highlight w:val="none"/>
          <w:lang w:val="en-US" w:eastAsia="zh-CN"/>
        </w:rPr>
        <w:t>合理</w:t>
      </w:r>
      <w:r>
        <w:rPr>
          <w:rFonts w:hint="eastAsia"/>
          <w:color w:val="auto"/>
          <w:highlight w:val="none"/>
        </w:rPr>
        <w:t>安排预算资金。</w:t>
      </w:r>
    </w:p>
    <w:p w14:paraId="01D405FC">
      <w:pPr>
        <w:ind w:firstLine="616" w:firstLineChars="200"/>
        <w:rPr>
          <w:rFonts w:ascii="方正小标宋简体" w:eastAsia="方正小标宋简体"/>
          <w:color w:val="auto"/>
          <w:highlight w:val="none"/>
        </w:rPr>
      </w:pPr>
      <w:r>
        <w:rPr>
          <w:rFonts w:hint="eastAsia" w:ascii="方正小标宋简体" w:eastAsia="方正小标宋简体"/>
          <w:color w:val="auto"/>
          <w:highlight w:val="none"/>
        </w:rPr>
        <w:t>五、其他需要说明的情况</w:t>
      </w:r>
    </w:p>
    <w:bookmarkEnd w:id="25"/>
    <w:p w14:paraId="7097AD19">
      <w:pPr>
        <w:ind w:firstLine="616" w:firstLineChars="200"/>
        <w:rPr>
          <w:rFonts w:hint="eastAsia" w:eastAsia="仿宋_GB2312"/>
          <w:color w:val="auto"/>
          <w:highlight w:val="none"/>
          <w:lang w:eastAsia="zh-CN"/>
        </w:rPr>
      </w:pPr>
      <w:r>
        <w:rPr>
          <w:rFonts w:hint="eastAsia"/>
          <w:color w:val="auto"/>
          <w:highlight w:val="none"/>
          <w:lang w:eastAsia="zh-CN"/>
        </w:rPr>
        <w:t>无。</w:t>
      </w:r>
    </w:p>
    <w:p w14:paraId="371C2549">
      <w:pPr>
        <w:rPr>
          <w:color w:val="auto"/>
          <w:highlight w:val="none"/>
        </w:rPr>
      </w:pPr>
    </w:p>
    <w:bookmarkEnd w:id="27"/>
    <w:sectPr>
      <w:headerReference r:id="rId3" w:type="default"/>
      <w:footerReference r:id="rId4" w:type="default"/>
      <w:pgSz w:w="11906" w:h="16838"/>
      <w:pgMar w:top="1701" w:right="1588" w:bottom="1644" w:left="1701" w:header="851" w:footer="992" w:gutter="0"/>
      <w:pgNumType w:fmt="decimal" w:start="1"/>
      <w:cols w:space="425" w:num="1"/>
      <w:docGrid w:type="linesAndChars" w:linePitch="562" w:charSpace="-25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A6D4C">
    <w:pPr>
      <w:pStyle w:val="7"/>
    </w:pPr>
    <w:r>
      <w:rPr>
        <w:sz w:val="18"/>
      </w:rPr>
      <w:pict>
        <v:shape id="_x0000_s4098" o:spid="_x0000_s4098" o:spt="202" type="#_x0000_t202" style="position:absolute;left:0pt;margin-top:0pt;height:144pt;width:144pt;mso-position-horizontal:in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D8BCB83">
                <w:pPr>
                  <w:pStyle w:val="7"/>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43E10">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54"/>
  <w:drawingGridVerticalSpacing w:val="281"/>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A04CD"/>
    <w:rsid w:val="00007A67"/>
    <w:rsid w:val="00022542"/>
    <w:rsid w:val="000258AA"/>
    <w:rsid w:val="000D1E99"/>
    <w:rsid w:val="0012286D"/>
    <w:rsid w:val="00132593"/>
    <w:rsid w:val="00145B76"/>
    <w:rsid w:val="00170E39"/>
    <w:rsid w:val="001834A3"/>
    <w:rsid w:val="00195019"/>
    <w:rsid w:val="001B111B"/>
    <w:rsid w:val="001B4856"/>
    <w:rsid w:val="001D33F5"/>
    <w:rsid w:val="001E1FDF"/>
    <w:rsid w:val="001F096B"/>
    <w:rsid w:val="0022603D"/>
    <w:rsid w:val="00235EDE"/>
    <w:rsid w:val="002A7F8F"/>
    <w:rsid w:val="002C4D92"/>
    <w:rsid w:val="002D7EDF"/>
    <w:rsid w:val="002E516E"/>
    <w:rsid w:val="002E5CB6"/>
    <w:rsid w:val="002F1311"/>
    <w:rsid w:val="00314DC0"/>
    <w:rsid w:val="00331AA1"/>
    <w:rsid w:val="00347820"/>
    <w:rsid w:val="00347914"/>
    <w:rsid w:val="00395359"/>
    <w:rsid w:val="003B7E05"/>
    <w:rsid w:val="004078CE"/>
    <w:rsid w:val="00410146"/>
    <w:rsid w:val="00413B2F"/>
    <w:rsid w:val="00421D22"/>
    <w:rsid w:val="0043014F"/>
    <w:rsid w:val="004531CF"/>
    <w:rsid w:val="004749F5"/>
    <w:rsid w:val="00486009"/>
    <w:rsid w:val="004B2E77"/>
    <w:rsid w:val="004D35D6"/>
    <w:rsid w:val="004D736E"/>
    <w:rsid w:val="00510F6B"/>
    <w:rsid w:val="00537F7E"/>
    <w:rsid w:val="00566EB1"/>
    <w:rsid w:val="00574D73"/>
    <w:rsid w:val="005B06B5"/>
    <w:rsid w:val="005B07DD"/>
    <w:rsid w:val="005B6EB7"/>
    <w:rsid w:val="005B7DAB"/>
    <w:rsid w:val="005C28C3"/>
    <w:rsid w:val="005D4C3F"/>
    <w:rsid w:val="005E6FE2"/>
    <w:rsid w:val="00606F30"/>
    <w:rsid w:val="00620700"/>
    <w:rsid w:val="0062264E"/>
    <w:rsid w:val="006265B7"/>
    <w:rsid w:val="006317C3"/>
    <w:rsid w:val="00665117"/>
    <w:rsid w:val="00675A9A"/>
    <w:rsid w:val="006B0F8D"/>
    <w:rsid w:val="006D4795"/>
    <w:rsid w:val="0074594E"/>
    <w:rsid w:val="00754811"/>
    <w:rsid w:val="007705F1"/>
    <w:rsid w:val="00781B6C"/>
    <w:rsid w:val="0078264B"/>
    <w:rsid w:val="007A7399"/>
    <w:rsid w:val="00804DCB"/>
    <w:rsid w:val="00816A2A"/>
    <w:rsid w:val="008428B2"/>
    <w:rsid w:val="0084340E"/>
    <w:rsid w:val="0086235A"/>
    <w:rsid w:val="00876A57"/>
    <w:rsid w:val="00880F2C"/>
    <w:rsid w:val="008B525A"/>
    <w:rsid w:val="008C30AE"/>
    <w:rsid w:val="008E75C3"/>
    <w:rsid w:val="0090022C"/>
    <w:rsid w:val="00982492"/>
    <w:rsid w:val="00A66BD5"/>
    <w:rsid w:val="00A813BE"/>
    <w:rsid w:val="00A8644D"/>
    <w:rsid w:val="00A91495"/>
    <w:rsid w:val="00AC5B70"/>
    <w:rsid w:val="00AF7207"/>
    <w:rsid w:val="00B05F42"/>
    <w:rsid w:val="00B12D08"/>
    <w:rsid w:val="00B32B1B"/>
    <w:rsid w:val="00B55F8F"/>
    <w:rsid w:val="00BA5204"/>
    <w:rsid w:val="00BF3EFE"/>
    <w:rsid w:val="00BF4502"/>
    <w:rsid w:val="00C005AF"/>
    <w:rsid w:val="00C10A76"/>
    <w:rsid w:val="00C112EA"/>
    <w:rsid w:val="00CD5F4B"/>
    <w:rsid w:val="00D24C0F"/>
    <w:rsid w:val="00D41CC7"/>
    <w:rsid w:val="00D45282"/>
    <w:rsid w:val="00D46575"/>
    <w:rsid w:val="00D67E60"/>
    <w:rsid w:val="00D73EB4"/>
    <w:rsid w:val="00D74AD4"/>
    <w:rsid w:val="00D82FAA"/>
    <w:rsid w:val="00DA04CD"/>
    <w:rsid w:val="00DA43A7"/>
    <w:rsid w:val="00DA5CEB"/>
    <w:rsid w:val="00DC37C4"/>
    <w:rsid w:val="00DC4199"/>
    <w:rsid w:val="00DE17BB"/>
    <w:rsid w:val="00DF7A41"/>
    <w:rsid w:val="00E03302"/>
    <w:rsid w:val="00E21FA4"/>
    <w:rsid w:val="00E23CAC"/>
    <w:rsid w:val="00E3272E"/>
    <w:rsid w:val="00E71A39"/>
    <w:rsid w:val="00E82D5B"/>
    <w:rsid w:val="00EA4E69"/>
    <w:rsid w:val="00EC4520"/>
    <w:rsid w:val="00ED3E32"/>
    <w:rsid w:val="00ED5CA9"/>
    <w:rsid w:val="00F04107"/>
    <w:rsid w:val="00F14CD1"/>
    <w:rsid w:val="00F43167"/>
    <w:rsid w:val="00F43EA4"/>
    <w:rsid w:val="00F57915"/>
    <w:rsid w:val="00FF40BF"/>
    <w:rsid w:val="01115B19"/>
    <w:rsid w:val="013940B8"/>
    <w:rsid w:val="018C519F"/>
    <w:rsid w:val="01A064C7"/>
    <w:rsid w:val="039B157F"/>
    <w:rsid w:val="03F01A1B"/>
    <w:rsid w:val="05291032"/>
    <w:rsid w:val="057223A5"/>
    <w:rsid w:val="05CD3CCC"/>
    <w:rsid w:val="06B84C89"/>
    <w:rsid w:val="0AD16319"/>
    <w:rsid w:val="0D374B59"/>
    <w:rsid w:val="0F6C5FE1"/>
    <w:rsid w:val="10394744"/>
    <w:rsid w:val="12FA558F"/>
    <w:rsid w:val="14873384"/>
    <w:rsid w:val="15BC4236"/>
    <w:rsid w:val="1D8105DD"/>
    <w:rsid w:val="1EB224A8"/>
    <w:rsid w:val="267C5D56"/>
    <w:rsid w:val="2B8E1990"/>
    <w:rsid w:val="2F212B1B"/>
    <w:rsid w:val="30DC4F4C"/>
    <w:rsid w:val="3240775C"/>
    <w:rsid w:val="32A93554"/>
    <w:rsid w:val="370F10D1"/>
    <w:rsid w:val="41382B0D"/>
    <w:rsid w:val="42DC2386"/>
    <w:rsid w:val="4AEE06AD"/>
    <w:rsid w:val="50253C62"/>
    <w:rsid w:val="51B00517"/>
    <w:rsid w:val="574D0CE3"/>
    <w:rsid w:val="57CA2524"/>
    <w:rsid w:val="60700A8D"/>
    <w:rsid w:val="664F5E87"/>
    <w:rsid w:val="68681920"/>
    <w:rsid w:val="6AB35823"/>
    <w:rsid w:val="73802893"/>
    <w:rsid w:val="7C6B6751"/>
    <w:rsid w:val="7D2C5EE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qFormat/>
    <w:uiPriority w:val="0"/>
    <w:pPr>
      <w:spacing w:line="240" w:lineRule="auto"/>
      <w:ind w:firstLine="600"/>
    </w:pPr>
    <w:rPr>
      <w:rFonts w:ascii="宋体" w:hAnsi="宋体" w:eastAsia="宋体"/>
      <w:sz w:val="30"/>
    </w:rPr>
  </w:style>
  <w:style w:type="paragraph" w:styleId="4">
    <w:name w:val="Body Text"/>
    <w:basedOn w:val="1"/>
    <w:next w:val="5"/>
    <w:qFormat/>
    <w:uiPriority w:val="0"/>
    <w:pPr>
      <w:spacing w:line="320" w:lineRule="exact"/>
      <w:jc w:val="center"/>
    </w:pPr>
    <w:rPr>
      <w:rFonts w:ascii="Times New Roman" w:hAnsi="Times New Roman" w:cs="Times New Roman"/>
      <w:szCs w:val="24"/>
      <w:lang w:bidi="ar-SA"/>
    </w:rPr>
  </w:style>
  <w:style w:type="paragraph" w:styleId="5">
    <w:name w:val="Title"/>
    <w:basedOn w:val="1"/>
    <w:next w:val="1"/>
    <w:qFormat/>
    <w:uiPriority w:val="10"/>
    <w:pPr>
      <w:jc w:val="center"/>
      <w:outlineLvl w:val="0"/>
    </w:pPr>
    <w:rPr>
      <w:rFonts w:ascii="方正小标宋_GBK" w:hAnsi="方正小标宋_GBK" w:eastAsia="方正小标宋_GBK" w:cs="方正小标宋_GBK"/>
      <w:sz w:val="44"/>
      <w:szCs w:val="44"/>
    </w:r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_Style 5"/>
    <w:qFormat/>
    <w:uiPriority w:val="0"/>
    <w:pPr>
      <w:widowControl w:val="0"/>
      <w:ind w:firstLine="200" w:firstLineChars="200"/>
      <w:jc w:val="both"/>
    </w:pPr>
    <w:rPr>
      <w:rFonts w:ascii="Calibri" w:hAnsi="Calibri" w:eastAsia="宋体" w:cs="Times New Roman"/>
      <w:kern w:val="2"/>
      <w:sz w:val="24"/>
      <w:szCs w:val="22"/>
      <w:lang w:val="en-US" w:eastAsia="zh-CN" w:bidi="ar-SA"/>
    </w:rPr>
  </w:style>
  <w:style w:type="paragraph" w:customStyle="1" w:styleId="12">
    <w:name w:val="正文首行缩进 21"/>
    <w:basedOn w:val="1"/>
    <w:qFormat/>
    <w:uiPriority w:val="0"/>
    <w:pPr>
      <w:spacing w:line="360" w:lineRule="auto"/>
      <w:ind w:firstLine="420" w:firstLineChars="200"/>
      <w:textAlignment w:val="baseline"/>
    </w:pPr>
    <w:rPr>
      <w:rFonts w:eastAsia="宋体"/>
      <w:sz w:val="24"/>
    </w:rPr>
  </w:style>
  <w:style w:type="paragraph" w:customStyle="1" w:styleId="13">
    <w:name w:val="正文 New"/>
    <w:autoRedefine/>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2980</Words>
  <Characters>3001</Characters>
  <Lines>6</Lines>
  <Paragraphs>1</Paragraphs>
  <TotalTime>26</TotalTime>
  <ScaleCrop>false</ScaleCrop>
  <LinksUpToDate>false</LinksUpToDate>
  <CharactersWithSpaces>3060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2020-07-14T08:14:00Z</dcterms:created>
  <dc:creator>苏锦雯</dc:creator>
  <cp:lastModifiedBy>嬅娟</cp:lastModifiedBy>
  <cp:lastPrinted>2026-04-21T02:04:00Z</cp:lastPrinted>
  <dcterms:modified xsi:type="dcterms:W3CDTF">2026-10-01T01:08:41Z</dcterms:modified>
  <dc:title>附件2-1.市级财政资金绩效自评报告</dc:title>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B15D5FE04C214C6DB5D9D8AC438660BF</vt:lpwstr>
  </property>
  <property fmtid="{D5CDD505-2E9C-101B-9397-08002B2CF9AE}" pid="4" name="KSOTemplateDocerSaveRecord">
    <vt:lpwstr>eyJoZGlkIjoiZGM5YjhhYmVmNWRlZDgxMTYzNzczZTc5ZjY2MjhmYTQiLCJ1c2VySWQiOiI0NTcyNzU5MTkifQ==</vt:lpwstr>
  </property>
</Properties>
</file>