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14CA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附件2-3</w:t>
      </w:r>
    </w:p>
    <w:p w14:paraId="152AF80D">
      <w:pPr>
        <w:rPr>
          <w:rFonts w:hint="eastAsia" w:ascii="仿宋_GB2312" w:hAnsi="仿宋_GB2312" w:eastAsia="仿宋_GB2312" w:cs="仿宋_GB2312"/>
        </w:rPr>
      </w:pPr>
    </w:p>
    <w:p w14:paraId="785F1476">
      <w:pPr>
        <w:spacing w:line="360" w:lineRule="auto"/>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县级部门整体支出绩效自评报告</w:t>
      </w:r>
    </w:p>
    <w:p w14:paraId="644D8AF9">
      <w:pPr>
        <w:spacing w:line="360" w:lineRule="auto"/>
        <w:jc w:val="center"/>
        <w:rPr>
          <w:rFonts w:hint="eastAsia" w:ascii="仿宋_GB2312" w:hAnsi="仿宋_GB2312" w:eastAsia="仿宋_GB2312" w:cs="仿宋_GB2312"/>
          <w:szCs w:val="44"/>
        </w:rPr>
      </w:pPr>
    </w:p>
    <w:p w14:paraId="2D03D813">
      <w:pPr>
        <w:rPr>
          <w:rFonts w:hint="eastAsia" w:ascii="仿宋_GB2312" w:hAnsi="仿宋_GB2312" w:eastAsia="仿宋_GB2312" w:cs="仿宋_GB2312"/>
        </w:rPr>
      </w:pPr>
    </w:p>
    <w:p w14:paraId="7D4E30D6">
      <w:pPr>
        <w:rPr>
          <w:rFonts w:hint="eastAsia" w:ascii="仿宋_GB2312" w:hAnsi="仿宋_GB2312" w:eastAsia="仿宋_GB2312" w:cs="仿宋_GB2312"/>
        </w:rPr>
      </w:pPr>
    </w:p>
    <w:p w14:paraId="5589A9AF">
      <w:pPr>
        <w:rPr>
          <w:rFonts w:hint="eastAsia" w:ascii="仿宋_GB2312" w:hAnsi="仿宋_GB2312" w:eastAsia="仿宋_GB2312" w:cs="仿宋_GB2312"/>
        </w:rPr>
      </w:pPr>
    </w:p>
    <w:p w14:paraId="765E0499">
      <w:pPr>
        <w:rPr>
          <w:rFonts w:hint="eastAsia" w:ascii="仿宋_GB2312" w:hAnsi="仿宋_GB2312" w:eastAsia="仿宋_GB2312" w:cs="仿宋_GB2312"/>
        </w:rPr>
      </w:pPr>
    </w:p>
    <w:p w14:paraId="2BF00FC2">
      <w:pPr>
        <w:ind w:firstLine="1894" w:firstLineChars="592"/>
        <w:rPr>
          <w:rFonts w:hint="eastAsia" w:ascii="仿宋_GB2312" w:hAnsi="仿宋_GB2312" w:eastAsia="仿宋_GB2312" w:cs="仿宋_GB2312"/>
          <w:lang w:val="en-US" w:eastAsia="zh-CN"/>
        </w:rPr>
      </w:pPr>
      <w:r>
        <w:rPr>
          <w:rFonts w:hint="eastAsia" w:ascii="仿宋_GB2312" w:hAnsi="仿宋_GB2312" w:eastAsia="仿宋_GB2312" w:cs="仿宋_GB2312"/>
        </w:rPr>
        <w:t>部门名称（公章）：</w:t>
      </w:r>
      <w:r>
        <w:rPr>
          <w:rFonts w:hint="eastAsia" w:ascii="仿宋_GB2312" w:hAnsi="仿宋_GB2312" w:eastAsia="仿宋_GB2312" w:cs="仿宋_GB2312"/>
          <w:lang w:val="en-US" w:eastAsia="zh-CN"/>
        </w:rPr>
        <w:t>广东省阳西县气象局</w:t>
      </w:r>
    </w:p>
    <w:p w14:paraId="605A2D19">
      <w:pPr>
        <w:ind w:firstLine="1894" w:firstLineChars="592"/>
        <w:rPr>
          <w:rFonts w:hint="eastAsia" w:ascii="仿宋_GB2312" w:hAnsi="仿宋_GB2312" w:eastAsia="仿宋_GB2312" w:cs="仿宋_GB2312"/>
          <w:lang w:val="en-US" w:eastAsia="zh-CN"/>
        </w:rPr>
      </w:pPr>
      <w:r>
        <w:rPr>
          <w:rFonts w:hint="eastAsia" w:ascii="仿宋_GB2312" w:hAnsi="仿宋_GB2312" w:eastAsia="仿宋_GB2312" w:cs="仿宋_GB2312"/>
        </w:rPr>
        <w:t>填报人姓名：</w:t>
      </w:r>
      <w:r>
        <w:rPr>
          <w:rFonts w:hint="eastAsia" w:ascii="仿宋_GB2312" w:hAnsi="仿宋_GB2312" w:eastAsia="仿宋_GB2312" w:cs="仿宋_GB2312"/>
          <w:lang w:val="en-US" w:eastAsia="zh-CN"/>
        </w:rPr>
        <w:t>黄中伶</w:t>
      </w:r>
    </w:p>
    <w:p w14:paraId="293E54EC">
      <w:pPr>
        <w:ind w:firstLine="1894" w:firstLineChars="592"/>
        <w:rPr>
          <w:rFonts w:hint="eastAsia" w:ascii="仿宋_GB2312" w:hAnsi="仿宋_GB2312" w:eastAsia="仿宋_GB2312" w:cs="仿宋_GB2312"/>
          <w:lang w:val="en-US" w:eastAsia="zh-CN"/>
        </w:rPr>
      </w:pPr>
      <w:r>
        <w:rPr>
          <w:rFonts w:hint="eastAsia" w:ascii="仿宋_GB2312" w:hAnsi="仿宋_GB2312" w:eastAsia="仿宋_GB2312" w:cs="仿宋_GB2312"/>
        </w:rPr>
        <w:t>联系电话：</w:t>
      </w:r>
      <w:r>
        <w:rPr>
          <w:rFonts w:hint="eastAsia" w:ascii="仿宋_GB2312" w:hAnsi="仿宋_GB2312" w:eastAsia="仿宋_GB2312" w:cs="仿宋_GB2312"/>
          <w:lang w:val="en-US" w:eastAsia="zh-CN"/>
        </w:rPr>
        <w:t>18318618359</w:t>
      </w:r>
    </w:p>
    <w:p w14:paraId="6DED23AC">
      <w:pPr>
        <w:ind w:firstLine="1894" w:firstLineChars="592"/>
        <w:rPr>
          <w:rFonts w:hint="eastAsia" w:ascii="仿宋_GB2312" w:hAnsi="仿宋_GB2312" w:eastAsia="仿宋_GB2312" w:cs="仿宋_GB2312"/>
          <w:lang w:val="en-US" w:eastAsia="zh-CN"/>
        </w:rPr>
      </w:pPr>
      <w:r>
        <w:rPr>
          <w:rFonts w:hint="eastAsia" w:ascii="仿宋_GB2312" w:hAnsi="仿宋_GB2312" w:eastAsia="仿宋_GB2312" w:cs="仿宋_GB2312"/>
        </w:rPr>
        <w:t>填报日期：</w:t>
      </w:r>
      <w:r>
        <w:rPr>
          <w:rFonts w:hint="eastAsia" w:ascii="仿宋_GB2312" w:hAnsi="仿宋_GB2312" w:eastAsia="仿宋_GB2312" w:cs="仿宋_GB2312"/>
          <w:lang w:val="en-US" w:eastAsia="zh-CN"/>
        </w:rPr>
        <w:t>2026年4月2</w:t>
      </w:r>
      <w:r>
        <w:rPr>
          <w:rFonts w:hint="eastAsia" w:ascii="仿宋_GB2312" w:hAnsi="仿宋_GB2312" w:cs="仿宋_GB2312"/>
          <w:lang w:val="en-US" w:eastAsia="zh-CN"/>
        </w:rPr>
        <w:t>7</w:t>
      </w:r>
      <w:r>
        <w:rPr>
          <w:rFonts w:hint="eastAsia" w:ascii="仿宋_GB2312" w:hAnsi="仿宋_GB2312" w:eastAsia="仿宋_GB2312" w:cs="仿宋_GB2312"/>
          <w:lang w:val="en-US" w:eastAsia="zh-CN"/>
        </w:rPr>
        <w:t>日</w:t>
      </w:r>
    </w:p>
    <w:p w14:paraId="1CBAC20B">
      <w:pPr>
        <w:rPr>
          <w:rFonts w:hint="eastAsia" w:ascii="仿宋_GB2312" w:hAnsi="仿宋_GB2312" w:eastAsia="仿宋_GB2312" w:cs="仿宋_GB2312"/>
        </w:rPr>
      </w:pPr>
    </w:p>
    <w:p w14:paraId="400B30B2">
      <w:pPr>
        <w:rPr>
          <w:rFonts w:hint="eastAsia" w:ascii="仿宋_GB2312" w:hAnsi="仿宋_GB2312" w:eastAsia="仿宋_GB2312" w:cs="仿宋_GB2312"/>
        </w:rPr>
      </w:pPr>
    </w:p>
    <w:p w14:paraId="57BAC540">
      <w:pPr>
        <w:rPr>
          <w:rFonts w:hint="eastAsia" w:ascii="仿宋_GB2312" w:hAnsi="仿宋_GB2312" w:eastAsia="仿宋_GB2312" w:cs="仿宋_GB2312"/>
        </w:rPr>
      </w:pPr>
    </w:p>
    <w:p w14:paraId="138C6284">
      <w:pPr>
        <w:rPr>
          <w:rFonts w:hint="eastAsia" w:ascii="仿宋_GB2312" w:hAnsi="仿宋_GB2312" w:eastAsia="仿宋_GB2312" w:cs="仿宋_GB2312"/>
        </w:rPr>
      </w:pPr>
    </w:p>
    <w:p w14:paraId="6E85843E">
      <w:pPr>
        <w:rPr>
          <w:rFonts w:hint="eastAsia" w:ascii="仿宋_GB2312" w:hAnsi="仿宋_GB2312" w:eastAsia="仿宋_GB2312" w:cs="仿宋_GB2312"/>
        </w:rPr>
      </w:pPr>
      <w:r>
        <w:rPr>
          <w:rFonts w:hint="eastAsia" w:ascii="仿宋_GB2312" w:hAnsi="仿宋_GB2312" w:eastAsia="仿宋_GB2312" w:cs="仿宋_GB2312"/>
        </w:rPr>
        <w:t xml:space="preserve">                     阳西县财政局制</w:t>
      </w:r>
    </w:p>
    <w:p w14:paraId="4AF8EF87">
      <w:pPr>
        <w:rPr>
          <w:rFonts w:hint="eastAsia" w:ascii="仿宋_GB2312" w:hAnsi="仿宋_GB2312" w:eastAsia="仿宋_GB2312" w:cs="仿宋_GB2312"/>
        </w:rPr>
      </w:pPr>
      <w:r>
        <w:rPr>
          <w:rFonts w:hint="eastAsia" w:ascii="仿宋_GB2312" w:hAnsi="仿宋_GB2312" w:eastAsia="仿宋_GB2312" w:cs="仿宋_GB2312"/>
        </w:rPr>
        <w:t xml:space="preserve">                         202</w:t>
      </w:r>
      <w:r>
        <w:rPr>
          <w:rFonts w:hint="eastAsia" w:ascii="仿宋_GB2312" w:hAnsi="仿宋_GB2312" w:eastAsia="仿宋_GB2312" w:cs="仿宋_GB2312"/>
          <w:lang w:val="en-US" w:eastAsia="zh-CN"/>
        </w:rPr>
        <w:t>6</w:t>
      </w:r>
      <w:r>
        <w:rPr>
          <w:rFonts w:hint="eastAsia" w:ascii="仿宋_GB2312" w:hAnsi="仿宋_GB2312" w:eastAsia="仿宋_GB2312" w:cs="仿宋_GB2312"/>
        </w:rPr>
        <w:t>年</w:t>
      </w:r>
    </w:p>
    <w:p w14:paraId="27C632F7">
      <w:pPr>
        <w:rPr>
          <w:rFonts w:hint="eastAsia" w:ascii="仿宋_GB2312" w:hAnsi="仿宋_GB2312" w:eastAsia="仿宋_GB2312" w:cs="仿宋_GB2312"/>
        </w:rPr>
      </w:pPr>
    </w:p>
    <w:p w14:paraId="5649E325">
      <w:pPr>
        <w:rPr>
          <w:rFonts w:hint="eastAsia" w:ascii="仿宋_GB2312" w:hAnsi="仿宋_GB2312" w:eastAsia="仿宋_GB2312" w:cs="仿宋_GB2312"/>
        </w:rPr>
      </w:pPr>
    </w:p>
    <w:p w14:paraId="2060C0B3">
      <w:pPr>
        <w:pStyle w:val="8"/>
        <w:ind w:firstLine="640"/>
        <w:rPr>
          <w:rFonts w:hint="eastAsia" w:ascii="仿宋_GB2312" w:hAnsi="仿宋_GB2312" w:eastAsia="仿宋_GB2312" w:cs="仿宋_GB2312"/>
          <w:sz w:val="32"/>
          <w:szCs w:val="32"/>
        </w:rPr>
        <w:sectPr>
          <w:pgSz w:w="11906" w:h="16838"/>
          <w:pgMar w:top="2041" w:right="1417" w:bottom="1417" w:left="1531" w:header="851" w:footer="992" w:gutter="0"/>
          <w:pgNumType w:fmt="numberInDash" w:start="1"/>
          <w:cols w:space="720" w:num="1"/>
          <w:docGrid w:type="lines" w:linePitch="312" w:charSpace="0"/>
        </w:sectPr>
      </w:pPr>
    </w:p>
    <w:p w14:paraId="4602D4FD">
      <w:pPr>
        <w:ind w:firstLine="616" w:firstLineChars="200"/>
        <w:rPr>
          <w:rFonts w:hint="eastAsia" w:ascii="仿宋_GB2312" w:hAnsi="仿宋_GB2312" w:eastAsia="仿宋_GB2312" w:cs="仿宋_GB2312"/>
          <w:b/>
          <w:bCs/>
        </w:rPr>
      </w:pPr>
      <w:bookmarkStart w:id="0" w:name="_Toc28838"/>
      <w:bookmarkStart w:id="1" w:name="_Toc8021_WPSOffice_Level2"/>
      <w:r>
        <w:rPr>
          <w:rFonts w:hint="eastAsia" w:ascii="仿宋_GB2312" w:hAnsi="仿宋_GB2312" w:eastAsia="仿宋_GB2312" w:cs="仿宋_GB2312"/>
          <w:b/>
          <w:bCs/>
        </w:rPr>
        <w:t>一、部门基本情况</w:t>
      </w:r>
      <w:bookmarkEnd w:id="0"/>
    </w:p>
    <w:bookmarkEnd w:id="1"/>
    <w:p w14:paraId="6D3AB3C6">
      <w:pPr>
        <w:ind w:firstLine="616" w:firstLineChars="200"/>
        <w:rPr>
          <w:rFonts w:hint="eastAsia" w:ascii="仿宋_GB2312" w:hAnsi="仿宋_GB2312" w:eastAsia="仿宋_GB2312" w:cs="仿宋_GB2312"/>
          <w:b/>
        </w:rPr>
      </w:pPr>
      <w:bookmarkStart w:id="2" w:name="_Toc30104"/>
      <w:bookmarkStart w:id="3" w:name="_Toc5988_WPSOffice_Level3"/>
      <w:bookmarkStart w:id="4" w:name="_Toc23683"/>
      <w:r>
        <w:rPr>
          <w:rFonts w:hint="eastAsia" w:ascii="仿宋_GB2312" w:hAnsi="仿宋_GB2312" w:eastAsia="仿宋_GB2312" w:cs="仿宋_GB2312"/>
          <w:b/>
        </w:rPr>
        <w:t>（一）部门整体概况</w:t>
      </w:r>
      <w:bookmarkEnd w:id="2"/>
      <w:bookmarkEnd w:id="3"/>
      <w:bookmarkEnd w:id="4"/>
      <w:r>
        <w:rPr>
          <w:rFonts w:hint="eastAsia" w:ascii="仿宋_GB2312" w:hAnsi="仿宋_GB2312" w:eastAsia="仿宋_GB2312" w:cs="仿宋_GB2312"/>
          <w:b/>
        </w:rPr>
        <w:t>。</w:t>
      </w:r>
    </w:p>
    <w:p w14:paraId="3D588B84">
      <w:pPr>
        <w:ind w:firstLine="616" w:firstLineChars="200"/>
        <w:rPr>
          <w:rFonts w:hint="eastAsia" w:ascii="仿宋_GB2312" w:hAnsi="仿宋_GB2312" w:eastAsia="仿宋_GB2312" w:cs="仿宋_GB2312"/>
          <w:bCs/>
          <w:szCs w:val="32"/>
          <w:lang w:bidi="ar"/>
        </w:rPr>
      </w:pPr>
      <w:bookmarkStart w:id="5" w:name="_Toc18779"/>
      <w:r>
        <w:rPr>
          <w:rFonts w:hint="eastAsia" w:ascii="仿宋_GB2312" w:hAnsi="仿宋_GB2312" w:eastAsia="仿宋_GB2312" w:cs="仿宋_GB2312"/>
          <w:bCs/>
          <w:szCs w:val="32"/>
          <w:lang w:bidi="ar"/>
        </w:rPr>
        <w:t>包括部门主要职责、</w:t>
      </w:r>
      <w:bookmarkEnd w:id="5"/>
      <w:r>
        <w:rPr>
          <w:rFonts w:hint="eastAsia" w:ascii="仿宋_GB2312" w:hAnsi="仿宋_GB2312" w:eastAsia="仿宋_GB2312" w:cs="仿宋_GB2312"/>
          <w:bCs/>
          <w:szCs w:val="32"/>
          <w:lang w:bidi="ar"/>
        </w:rPr>
        <w:t>内设机构构成、</w:t>
      </w:r>
      <w:bookmarkStart w:id="6" w:name="_Toc2082"/>
      <w:r>
        <w:rPr>
          <w:rFonts w:hint="eastAsia" w:ascii="仿宋_GB2312" w:hAnsi="仿宋_GB2312" w:eastAsia="仿宋_GB2312" w:cs="仿宋_GB2312"/>
          <w:bCs/>
          <w:szCs w:val="32"/>
          <w:lang w:bidi="ar"/>
        </w:rPr>
        <w:t>人员编制构成等基本情况。</w:t>
      </w:r>
      <w:bookmarkEnd w:id="6"/>
    </w:p>
    <w:p w14:paraId="72894BFE">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
          <w:bCs w:val="0"/>
          <w:szCs w:val="32"/>
          <w:lang w:bidi="ar"/>
        </w:rPr>
        <w:t>部门主要职责：</w:t>
      </w:r>
      <w:r>
        <w:rPr>
          <w:rFonts w:hint="eastAsia" w:ascii="仿宋_GB2312" w:hAnsi="仿宋_GB2312" w:eastAsia="仿宋_GB2312" w:cs="仿宋_GB2312"/>
          <w:bCs/>
          <w:szCs w:val="32"/>
          <w:lang w:bidi="ar"/>
        </w:rPr>
        <w:t xml:space="preserve">广东省阳西县气象局、气象台，为阳西县人民政府直属正科级行政类事业单位，实行局、台合一，加挂阳西县气象预警信息发布中心牌子，属地方气象事业编制，其行政管理、业务工作委托上级气象部门统一管理。在本级人民政府和上级气象主管机构领导下，根据授权承担本行政区域内气象工作的政府行政管理职能，依法履行气象主管机构的各项职责。 </w:t>
      </w:r>
    </w:p>
    <w:p w14:paraId="15374ABB">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1．负责本行政区域内气象事业发展规划、计划的制定及气象业务建设的组织实施；负责本行政区域内气象设施建设项目的申报；对本行政区域内的气象活动进行指导。 </w:t>
      </w:r>
    </w:p>
    <w:p w14:paraId="0AEF4233">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2．负责本行政区域内气象控测资料的收集、传输，依法保护气象控测环境。 </w:t>
      </w:r>
    </w:p>
    <w:p w14:paraId="5EC4FE26">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3．负责本行政区域内气象监测、预报工作，及时提出气象灾害防御措施，并对重大灾害做出初步评估，为本级人民政府组织防御气象灾害提供决策服务依据；负责本行政区域内公众气象预报、灾害性天气警报、预警信号以及农业气象预报、城市环境气象预报、火险气象等级预报等专业气象预报的发布，开展各类气象业务、服务工作。 </w:t>
      </w:r>
    </w:p>
    <w:p w14:paraId="34A90441">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4．指导组织和管理本行政区域人工影响天气作业；贯彻执行《广东省防御雷电灾害管理规定》，组织管理雷电灾害防御工作，负责本行政区域内防雷设施的设计审核、施工监督、竣工验收和定期检测、雷电灾害调查及事故鉴定等工作。 </w:t>
      </w:r>
    </w:p>
    <w:p w14:paraId="32A1D369">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5．负责向本级人民政府和同级有关部门提出利用、保护气候资源和推广应用气象资源区划等成果的建议；组织对气象资料开发利用项目进行可行性论证。 </w:t>
      </w:r>
    </w:p>
    <w:p w14:paraId="4F740722">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6．组织开展气象法制宣传教育；负责监督有关气象法规的实施，对违反《中华人民共和国气象法》有关规定的行为依法进行查处，承担有关行政复议和行政诉讼。 </w:t>
      </w:r>
    </w:p>
    <w:p w14:paraId="3982E980">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7．负责本行政区域内的气象部门的计划财务、科研培训、业务建设以及精神文明建设和思想政治工作。 </w:t>
      </w:r>
    </w:p>
    <w:p w14:paraId="11B6F8FF">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8．承担上级气象主管机构和本级人民政府交办的其他事项。</w:t>
      </w:r>
    </w:p>
    <w:p w14:paraId="290907F1">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
          <w:bCs w:val="0"/>
          <w:szCs w:val="32"/>
          <w:lang w:bidi="ar"/>
        </w:rPr>
        <w:t>内设机构：</w:t>
      </w:r>
      <w:r>
        <w:rPr>
          <w:rFonts w:hint="eastAsia" w:ascii="仿宋_GB2312" w:hAnsi="仿宋_GB2312" w:eastAsia="仿宋_GB2312" w:cs="仿宋_GB2312"/>
          <w:bCs/>
          <w:szCs w:val="32"/>
          <w:lang w:bidi="ar"/>
        </w:rPr>
        <w:t xml:space="preserve">根据上述职责，阳西县气象局设2个股室。 </w:t>
      </w:r>
    </w:p>
    <w:p w14:paraId="3108D69E">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1．人秘股 </w:t>
      </w:r>
    </w:p>
    <w:p w14:paraId="64D9D998">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负责本局会议的组织、文秘、档案、气象宣传、接待和公务用车管理等工作；草拟报告、总结、计划、规章制度并负责监督、检查、催办；负责离退休人员管理工作；负责本局财务、行政执法、固定资产管理、台站综合治理、综合统计工作；承担精神文明建设的日常工作；负责本局安全生产和工、青、妇及计生工作；协助阳江市气象局做好纪检监察、审计、人事、劳资、职工培训等工作。 </w:t>
      </w:r>
    </w:p>
    <w:p w14:paraId="1C96EF21">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 xml:space="preserve">2．业务服务股 </w:t>
      </w:r>
    </w:p>
    <w:p w14:paraId="00F07D7E">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负责地面气象观测、气象通信网络建设；承担本行政区域内天气预报、警报、预警信号的制作和发布；负责为当地政府和有关部门提供决策预报服务，担负灾害性天气联防业务，负责气候资源的开发、利用和保护以及气候可行性论证；负责气象灾害成因调查分析与评估工作；负责本区域人工影响天气工作；负责农业气象预报、城市环境气象预报、火</w:t>
      </w:r>
      <w:r>
        <w:rPr>
          <w:rFonts w:hint="eastAsia" w:ascii="仿宋_GB2312" w:hAnsi="仿宋_GB2312" w:cs="仿宋_GB2312"/>
          <w:bCs/>
          <w:szCs w:val="32"/>
          <w:lang w:val="en-US" w:eastAsia="zh-CN" w:bidi="ar"/>
        </w:rPr>
        <w:t>险</w:t>
      </w:r>
      <w:r>
        <w:rPr>
          <w:rFonts w:hint="eastAsia" w:ascii="仿宋_GB2312" w:hAnsi="仿宋_GB2312" w:eastAsia="仿宋_GB2312" w:cs="仿宋_GB2312"/>
          <w:bCs/>
          <w:szCs w:val="32"/>
          <w:lang w:bidi="ar"/>
        </w:rPr>
        <w:t>气象等级预报等专业气象预报的发布。</w:t>
      </w:r>
    </w:p>
    <w:p w14:paraId="208382B1">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
          <w:bCs w:val="0"/>
          <w:szCs w:val="32"/>
          <w:lang w:bidi="ar"/>
        </w:rPr>
        <w:t>人员编制构成：</w:t>
      </w:r>
      <w:r>
        <w:rPr>
          <w:rFonts w:hint="eastAsia" w:ascii="仿宋_GB2312" w:hAnsi="仿宋_GB2312" w:eastAsia="仿宋_GB2312" w:cs="仿宋_GB2312"/>
          <w:bCs/>
          <w:szCs w:val="32"/>
          <w:lang w:bidi="ar"/>
        </w:rPr>
        <w:t>本部门核定事业编制人数为8人，202</w:t>
      </w:r>
      <w:r>
        <w:rPr>
          <w:rFonts w:hint="eastAsia" w:ascii="仿宋_GB2312" w:hAnsi="仿宋_GB2312" w:cs="仿宋_GB2312"/>
          <w:bCs/>
          <w:szCs w:val="32"/>
          <w:lang w:val="en-US" w:eastAsia="zh-CN" w:bidi="ar"/>
        </w:rPr>
        <w:t>5</w:t>
      </w:r>
      <w:r>
        <w:rPr>
          <w:rFonts w:hint="eastAsia" w:ascii="仿宋_GB2312" w:hAnsi="仿宋_GB2312" w:eastAsia="仿宋_GB2312" w:cs="仿宋_GB2312"/>
          <w:bCs/>
          <w:szCs w:val="32"/>
          <w:lang w:bidi="ar"/>
        </w:rPr>
        <w:t>年在职事业编制人数8人。</w:t>
      </w:r>
    </w:p>
    <w:p w14:paraId="6940D3C0">
      <w:pPr>
        <w:ind w:firstLine="616" w:firstLineChars="200"/>
        <w:rPr>
          <w:rFonts w:hint="eastAsia" w:ascii="仿宋_GB2312" w:hAnsi="仿宋_GB2312" w:eastAsia="仿宋_GB2312" w:cs="仿宋_GB2312"/>
          <w:b/>
        </w:rPr>
      </w:pPr>
      <w:bookmarkStart w:id="7" w:name="_Toc25996"/>
      <w:bookmarkStart w:id="8" w:name="_Toc14936_WPSOffice_Level2"/>
      <w:r>
        <w:rPr>
          <w:rFonts w:hint="eastAsia" w:ascii="仿宋_GB2312" w:hAnsi="仿宋_GB2312" w:eastAsia="仿宋_GB2312" w:cs="仿宋_GB2312"/>
          <w:b/>
        </w:rPr>
        <w:t>（二）年度总体工作和重点工作任务</w:t>
      </w:r>
      <w:bookmarkEnd w:id="7"/>
      <w:bookmarkEnd w:id="8"/>
      <w:r>
        <w:rPr>
          <w:rFonts w:hint="eastAsia" w:ascii="仿宋_GB2312" w:hAnsi="仿宋_GB2312" w:eastAsia="仿宋_GB2312" w:cs="仿宋_GB2312"/>
          <w:b/>
        </w:rPr>
        <w:t>。</w:t>
      </w:r>
    </w:p>
    <w:p w14:paraId="0178C035">
      <w:pPr>
        <w:ind w:firstLine="616" w:firstLineChars="200"/>
        <w:rPr>
          <w:rFonts w:hint="eastAsia" w:ascii="仿宋_GB2312" w:hAnsi="仿宋_GB2312" w:eastAsia="仿宋_GB2312" w:cs="仿宋_GB2312"/>
          <w:b/>
          <w:bCs w:val="0"/>
          <w:szCs w:val="32"/>
          <w:lang w:bidi="ar"/>
        </w:rPr>
      </w:pPr>
      <w:r>
        <w:rPr>
          <w:rFonts w:hint="eastAsia" w:ascii="仿宋_GB2312" w:hAnsi="仿宋_GB2312" w:eastAsia="仿宋_GB2312" w:cs="仿宋_GB2312"/>
          <w:b/>
          <w:bCs w:val="0"/>
          <w:szCs w:val="32"/>
          <w:lang w:val="en-US" w:eastAsia="zh-CN" w:bidi="ar"/>
        </w:rPr>
        <w:t>2025年</w:t>
      </w:r>
      <w:r>
        <w:rPr>
          <w:rFonts w:hint="eastAsia" w:ascii="仿宋_GB2312" w:hAnsi="仿宋_GB2312" w:eastAsia="仿宋_GB2312" w:cs="仿宋_GB2312"/>
          <w:b/>
          <w:bCs w:val="0"/>
          <w:szCs w:val="32"/>
          <w:lang w:bidi="ar"/>
        </w:rPr>
        <w:t>年度总体工作</w:t>
      </w:r>
    </w:p>
    <w:p w14:paraId="3962B66A">
      <w:pPr>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一年来，在县委、县政府以及上级气象部门的正确领导和大力支持下，</w:t>
      </w:r>
      <w:r>
        <w:rPr>
          <w:rFonts w:hint="eastAsia" w:ascii="仿宋_GB2312" w:hAnsi="仿宋_GB2312" w:cs="仿宋_GB2312"/>
          <w:sz w:val="32"/>
          <w:szCs w:val="32"/>
          <w:lang w:val="en-US" w:eastAsia="zh-CN"/>
        </w:rPr>
        <w:t>我局</w:t>
      </w:r>
      <w:r>
        <w:rPr>
          <w:rFonts w:hint="eastAsia" w:ascii="仿宋_GB2312" w:hAnsi="仿宋_GB2312" w:eastAsia="仿宋_GB2312" w:cs="仿宋_GB2312"/>
          <w:sz w:val="32"/>
          <w:szCs w:val="32"/>
        </w:rPr>
        <w:t>坚持以习近平新时代中国特色社会主义思想为指导，完整、准确、全面贯彻新发展理念，加快构建新发展格局，牢记习近平总书记对气象工作的重要指示精神，以提供高质量气象服务为导向，努力筑牢气象防灾减灾第一道防线，牢固树立“人民至上、生命至上”工作理念，全力构建科技领先、监测精密、预报精准、服务精细、人民满意的现代气象体系。加强党的建设、深入贯彻中央八项规定精神学习教育，持续改进工作作风。突出主责主业，勇于担当作为，为我县气象高质量发展、气象防灾减灾和助力“百县千镇万村高质量发展工程”做出了应有的贡献，完成了县委、县政府和上级气象部门的任务部署和工作安排。。</w:t>
      </w:r>
    </w:p>
    <w:p w14:paraId="5FC964B8">
      <w:pPr>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b/>
          <w:lang w:val="en-US" w:eastAsia="zh-CN"/>
        </w:rPr>
        <w:t>2025年</w:t>
      </w:r>
      <w:r>
        <w:rPr>
          <w:rFonts w:hint="eastAsia" w:ascii="仿宋_GB2312" w:hAnsi="仿宋_GB2312" w:eastAsia="仿宋_GB2312" w:cs="仿宋_GB2312"/>
          <w:b/>
        </w:rPr>
        <w:t>重点工作任务</w:t>
      </w:r>
    </w:p>
    <w:p w14:paraId="70A69D35">
      <w:pPr>
        <w:spacing w:line="560" w:lineRule="exact"/>
        <w:ind w:firstLine="616" w:firstLineChars="200"/>
        <w:rPr>
          <w:rFonts w:hint="eastAsia" w:ascii="仿宋_GB2312" w:hAnsi="仿宋_GB2312" w:eastAsia="仿宋_GB2312" w:cs="仿宋_GB2312"/>
          <w:b/>
          <w:kern w:val="0"/>
          <w:sz w:val="32"/>
          <w:szCs w:val="32"/>
          <w:lang w:bidi="ar"/>
        </w:rPr>
      </w:pPr>
      <w:r>
        <w:rPr>
          <w:rFonts w:hint="eastAsia" w:ascii="仿宋_GB2312" w:hAnsi="仿宋_GB2312" w:eastAsia="仿宋_GB2312" w:cs="仿宋_GB2312"/>
          <w:b/>
          <w:kern w:val="0"/>
          <w:sz w:val="32"/>
          <w:szCs w:val="32"/>
          <w:lang w:val="en-US" w:eastAsia="zh-CN" w:bidi="ar"/>
        </w:rPr>
        <w:t>1、</w:t>
      </w:r>
      <w:r>
        <w:rPr>
          <w:rFonts w:hint="eastAsia" w:ascii="仿宋_GB2312" w:hAnsi="仿宋_GB2312" w:eastAsia="仿宋_GB2312" w:cs="仿宋_GB2312"/>
          <w:b/>
          <w:kern w:val="0"/>
          <w:sz w:val="32"/>
          <w:szCs w:val="32"/>
          <w:lang w:bidi="ar"/>
        </w:rPr>
        <w:t>强化政治引领，深化作风建设</w:t>
      </w:r>
    </w:p>
    <w:p w14:paraId="355DEB28">
      <w:pPr>
        <w:spacing w:line="560" w:lineRule="exact"/>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开展中央八项规定精神学习教育，坚决整治文风会风，发文数量较去年同期减少15%，会议效率显著提升。持续推进调研扎堆整治，围绕“阳西县气象高质量发展十五五规划”开展专项调研，提升调研实效。将作风建设成果转化为提升服务效能的动力。</w:t>
      </w:r>
    </w:p>
    <w:p w14:paraId="4410140C">
      <w:pPr>
        <w:pStyle w:val="5"/>
        <w:numPr>
          <w:ilvl w:val="0"/>
          <w:numId w:val="0"/>
        </w:numPr>
        <w:spacing w:line="560" w:lineRule="exact"/>
        <w:ind w:left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聚焦主责主业，核心能力稳步提升</w:t>
      </w:r>
    </w:p>
    <w:p w14:paraId="2CB10358">
      <w:pPr>
        <w:spacing w:line="560" w:lineRule="exact"/>
        <w:ind w:firstLine="616"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监测预报预警精准高效。 国家天气站及各类观测设备稳定运行。年内我局共发布重大气象信息快报31期；重大气象信息专报5期，天气报告40期，气象值班信息37期，微博2234条，决策短信359293人次，预警信号268次。预警发布及时准确，未漏发灾害性天气预警。统筹做好春运、春耕春播、龙舟水、汛期、高考、森林防火等各项气象服务。灾害防御联动持续深化。</w:t>
      </w:r>
    </w:p>
    <w:p w14:paraId="02F5D1B8">
      <w:pPr>
        <w:spacing w:line="560" w:lineRule="exact"/>
        <w:ind w:firstLine="616"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联促三动”机制高效运行，与县消防救援大队围绕防御台风“蝴蝶”及特大暴雨开展座谈交流。完善预警“叫应”流程，严格落实双重“叫应”机制，累计启动台风、暴雨、雷雨大风橙色、红色预警叫应机制88次。组织修订并协助县府办印发《阳西县气象灾害应急预案》，完成高考考点气象灾害防御能力专项检查。利用在线监管平台对防雷安全进行常态化监管和抽查。</w:t>
      </w:r>
    </w:p>
    <w:p w14:paraId="715C57C1">
      <w:pPr>
        <w:spacing w:line="560" w:lineRule="exact"/>
        <w:ind w:firstLine="616"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重点项目取得进展。 X波段相控阵雷达网已完成基础和铁塔建设工作，向县政府请款推进顺利，进度款已拨付至建设单位。</w:t>
      </w:r>
    </w:p>
    <w:p w14:paraId="7AE295E6">
      <w:pPr>
        <w:spacing w:line="560" w:lineRule="exact"/>
        <w:ind w:firstLine="616" w:firstLineChars="200"/>
        <w:contextualSpacing/>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严守安全底线，发展基础巩固</w:t>
      </w:r>
    </w:p>
    <w:p w14:paraId="1C2BC456">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sz w:val="32"/>
          <w:szCs w:val="32"/>
        </w:rPr>
        <w:t>全面落实安全生产责任，制定实施“隐患排查治理年”行动方案。主要领导带队开展全覆盖隐患排查，重点领域安全状况良好。严格执行人影规章制度，接受市局安全检查，确保作业安全规范。扎实开展“安全生产月”活动</w:t>
      </w:r>
      <w:r>
        <w:rPr>
          <w:rFonts w:hint="eastAsia" w:ascii="仿宋_GB2312" w:hAnsi="仿宋_GB2312" w:eastAsia="仿宋_GB2312" w:cs="仿宋_GB2312"/>
          <w:bCs/>
          <w:szCs w:val="32"/>
          <w:lang w:bidi="ar"/>
        </w:rPr>
        <w:t>。</w:t>
      </w:r>
    </w:p>
    <w:p w14:paraId="7D64BB68">
      <w:pPr>
        <w:spacing w:line="560" w:lineRule="exact"/>
        <w:ind w:firstLine="616" w:firstLineChars="200"/>
        <w:contextualSpacing/>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4、服务乡村振兴，助力“百千万工程”</w:t>
      </w:r>
    </w:p>
    <w:p w14:paraId="434493BB">
      <w:pPr>
        <w:ind w:firstLine="52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优化为农气象服务，发布针对性信息，服务农业生产。深入学校、乡镇开展气象科普宣传，提升公众防灾减灾意识和能力。</w:t>
      </w:r>
    </w:p>
    <w:p w14:paraId="0B84341B">
      <w:pPr>
        <w:spacing w:line="560" w:lineRule="exact"/>
        <w:ind w:firstLine="616" w:firstLineChars="200"/>
        <w:contextualSpacing/>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强化法治建设与依法行政</w:t>
      </w:r>
    </w:p>
    <w:p w14:paraId="0A3BF068">
      <w:pPr>
        <w:ind w:firstLine="520"/>
        <w:rPr>
          <w:rFonts w:hint="eastAsia" w:ascii="仿宋_GB2312" w:hAnsi="仿宋_GB2312" w:eastAsia="仿宋_GB2312" w:cs="仿宋_GB2312"/>
          <w:bCs/>
          <w:szCs w:val="32"/>
          <w:lang w:val="en-US" w:eastAsia="zh-CN" w:bidi="ar"/>
        </w:rPr>
      </w:pPr>
      <w:r>
        <w:rPr>
          <w:rFonts w:hint="eastAsia" w:ascii="仿宋_GB2312" w:hAnsi="仿宋_GB2312" w:eastAsia="仿宋_GB2312" w:cs="仿宋_GB2312"/>
          <w:bCs/>
          <w:szCs w:val="32"/>
          <w:lang w:bidi="ar"/>
        </w:rPr>
        <w:t>深化“放管服”改革，推进行政许可“一窗办理”、“全市通办”与全流程网办。防雷装置设计审核实行承诺制，及时受理、按时办结、零投诉。加强气象行政执法监管。</w:t>
      </w:r>
    </w:p>
    <w:p w14:paraId="1A4B8C6B">
      <w:pPr>
        <w:ind w:firstLine="520"/>
        <w:rPr>
          <w:rFonts w:hint="eastAsia" w:ascii="仿宋_GB2312" w:hAnsi="仿宋_GB2312" w:eastAsia="仿宋_GB2312" w:cs="仿宋_GB2312"/>
          <w:bCs/>
          <w:sz w:val="26"/>
          <w:szCs w:val="26"/>
        </w:rPr>
      </w:pPr>
      <w:bookmarkStart w:id="9" w:name="_Toc8086"/>
      <w:bookmarkStart w:id="10" w:name="_Toc28424_WPSOffice_Level2"/>
      <w:r>
        <w:rPr>
          <w:rFonts w:hint="eastAsia" w:ascii="仿宋_GB2312" w:hAnsi="仿宋_GB2312" w:eastAsia="仿宋_GB2312" w:cs="仿宋_GB2312"/>
          <w:b/>
        </w:rPr>
        <w:t>（三）</w:t>
      </w:r>
      <w:bookmarkEnd w:id="9"/>
      <w:bookmarkEnd w:id="10"/>
      <w:r>
        <w:rPr>
          <w:rFonts w:hint="eastAsia" w:ascii="仿宋_GB2312" w:hAnsi="仿宋_GB2312" w:eastAsia="仿宋_GB2312" w:cs="仿宋_GB2312"/>
          <w:b/>
        </w:rPr>
        <w:t>部门整体支出情况。</w:t>
      </w:r>
    </w:p>
    <w:p w14:paraId="092357EF">
      <w:pPr>
        <w:ind w:firstLine="52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包括部门整体的年度预算、预算调整、实际支出等情况，以及对三公经费、日常公用经费的使用情况分析。</w:t>
      </w:r>
    </w:p>
    <w:p w14:paraId="20CA46E8">
      <w:pPr>
        <w:ind w:firstLine="520"/>
        <w:rPr>
          <w:rFonts w:hint="default" w:ascii="仿宋_GB2312" w:hAnsi="仿宋_GB2312" w:eastAsia="仿宋_GB2312" w:cs="仿宋_GB2312"/>
          <w:bCs/>
          <w:szCs w:val="32"/>
          <w:lang w:val="en-US" w:eastAsia="zh-CN"/>
        </w:rPr>
      </w:pPr>
      <w:r>
        <w:rPr>
          <w:rFonts w:hint="eastAsia" w:ascii="仿宋_GB2312" w:hAnsi="仿宋_GB2312" w:cs="仿宋_GB2312"/>
          <w:bCs/>
          <w:szCs w:val="32"/>
        </w:rPr>
        <w:t>202</w:t>
      </w:r>
      <w:r>
        <w:rPr>
          <w:rFonts w:hint="eastAsia" w:ascii="仿宋_GB2312" w:hAnsi="仿宋_GB2312" w:cs="仿宋_GB2312"/>
          <w:bCs/>
          <w:szCs w:val="32"/>
          <w:lang w:val="en-US" w:eastAsia="zh-CN"/>
        </w:rPr>
        <w:t>5</w:t>
      </w:r>
      <w:r>
        <w:rPr>
          <w:rFonts w:hint="eastAsia" w:ascii="仿宋_GB2312" w:hAnsi="仿宋_GB2312" w:cs="仿宋_GB2312"/>
          <w:bCs/>
          <w:szCs w:val="32"/>
        </w:rPr>
        <w:t>年本部门</w:t>
      </w:r>
      <w:r>
        <w:rPr>
          <w:rFonts w:hint="eastAsia" w:ascii="仿宋_GB2312" w:hAnsi="仿宋_GB2312" w:cs="仿宋_GB2312"/>
          <w:bCs/>
          <w:szCs w:val="32"/>
          <w:lang w:val="en-US" w:eastAsia="zh-CN"/>
        </w:rPr>
        <w:t>整体</w:t>
      </w:r>
      <w:r>
        <w:rPr>
          <w:rFonts w:hint="eastAsia" w:ascii="仿宋_GB2312" w:hAnsi="仿宋_GB2312" w:cs="仿宋_GB2312"/>
          <w:bCs/>
          <w:szCs w:val="32"/>
        </w:rPr>
        <w:t>年度预算</w:t>
      </w:r>
      <w:r>
        <w:rPr>
          <w:rFonts w:hint="eastAsia" w:ascii="仿宋_GB2312" w:hAnsi="仿宋_GB2312" w:cs="仿宋_GB2312"/>
          <w:bCs/>
          <w:szCs w:val="32"/>
          <w:lang w:val="en-US" w:eastAsia="zh-CN"/>
        </w:rPr>
        <w:t>214.03</w:t>
      </w:r>
      <w:r>
        <w:rPr>
          <w:rFonts w:hint="eastAsia" w:ascii="仿宋_GB2312" w:hAnsi="仿宋_GB2312" w:cs="仿宋_GB2312"/>
          <w:bCs/>
          <w:szCs w:val="32"/>
        </w:rPr>
        <w:t>万元，比上年</w:t>
      </w:r>
      <w:r>
        <w:rPr>
          <w:rFonts w:hint="eastAsia" w:ascii="仿宋_GB2312" w:hAnsi="仿宋_GB2312" w:cs="仿宋_GB2312"/>
          <w:bCs/>
          <w:szCs w:val="32"/>
          <w:lang w:val="en-US" w:eastAsia="zh-CN"/>
        </w:rPr>
        <w:t>增加71.26</w:t>
      </w:r>
      <w:r>
        <w:rPr>
          <w:rFonts w:hint="eastAsia" w:ascii="仿宋_GB2312" w:hAnsi="仿宋_GB2312" w:cs="仿宋_GB2312"/>
          <w:bCs/>
          <w:szCs w:val="32"/>
        </w:rPr>
        <w:t>万元，</w:t>
      </w:r>
      <w:r>
        <w:rPr>
          <w:rFonts w:hint="eastAsia" w:ascii="仿宋_GB2312" w:hAnsi="仿宋_GB2312" w:cs="仿宋_GB2312"/>
          <w:bCs/>
          <w:szCs w:val="32"/>
          <w:lang w:val="en-US" w:eastAsia="zh-CN"/>
        </w:rPr>
        <w:t>增加49.91</w:t>
      </w:r>
      <w:r>
        <w:rPr>
          <w:rFonts w:hint="eastAsia" w:ascii="仿宋_GB2312" w:hAnsi="仿宋_GB2312" w:cs="仿宋_GB2312"/>
          <w:bCs/>
          <w:szCs w:val="32"/>
        </w:rPr>
        <w:t>%，主要原因</w:t>
      </w:r>
      <w:bookmarkStart w:id="11" w:name="PO_part3A1IncReason1"/>
      <w:r>
        <w:rPr>
          <w:rFonts w:hint="eastAsia" w:ascii="仿宋_GB2312" w:hAnsi="仿宋_GB2312" w:cs="仿宋_GB2312"/>
          <w:bCs/>
          <w:szCs w:val="32"/>
          <w:lang w:eastAsia="zh-CN"/>
        </w:rPr>
        <w:t>是</w:t>
      </w:r>
      <w:r>
        <w:rPr>
          <w:rFonts w:hint="eastAsia" w:ascii="仿宋_GB2312" w:hAnsi="仿宋_GB2312" w:cs="仿宋_GB2312"/>
          <w:bCs/>
          <w:szCs w:val="32"/>
          <w:lang w:val="en-US" w:eastAsia="zh-CN"/>
        </w:rPr>
        <w:t>人员经费增加及年中申请一笔新墟塘口山洪监测站建站款和一笔</w:t>
      </w:r>
      <w:bookmarkStart w:id="45" w:name="_GoBack"/>
      <w:bookmarkEnd w:id="45"/>
      <w:r>
        <w:rPr>
          <w:rFonts w:hint="eastAsia" w:ascii="仿宋_GB2312" w:hAnsi="仿宋_GB2312" w:cs="仿宋_GB2312"/>
          <w:bCs/>
          <w:szCs w:val="32"/>
          <w:lang w:val="en-US" w:eastAsia="zh-CN"/>
        </w:rPr>
        <w:t>X波段相控阵雷达网基础建设项目进度款</w:t>
      </w:r>
      <w:bookmarkEnd w:id="11"/>
      <w:r>
        <w:rPr>
          <w:rFonts w:hint="eastAsia" w:ascii="仿宋_GB2312" w:hAnsi="仿宋_GB2312" w:cs="仿宋_GB2312"/>
          <w:bCs/>
          <w:szCs w:val="32"/>
          <w:lang w:val="en-US" w:eastAsia="zh-CN"/>
        </w:rPr>
        <w:t>预算</w:t>
      </w:r>
      <w:r>
        <w:rPr>
          <w:rFonts w:hint="eastAsia" w:ascii="仿宋_GB2312" w:hAnsi="仿宋_GB2312" w:cs="仿宋_GB2312"/>
          <w:bCs/>
          <w:szCs w:val="32"/>
        </w:rPr>
        <w:t>；</w:t>
      </w:r>
      <w:bookmarkStart w:id="12" w:name="PO_part3A1Amount2"/>
      <w:r>
        <w:rPr>
          <w:rFonts w:hint="eastAsia" w:ascii="仿宋_GB2312" w:hAnsi="仿宋_GB2312" w:cs="仿宋_GB2312"/>
          <w:bCs/>
          <w:szCs w:val="32"/>
        </w:rPr>
        <w:t>实际支出</w:t>
      </w:r>
      <w:bookmarkEnd w:id="12"/>
      <w:r>
        <w:rPr>
          <w:rFonts w:hint="eastAsia" w:ascii="仿宋_GB2312" w:hAnsi="仿宋_GB2312" w:cs="仿宋_GB2312"/>
          <w:bCs/>
          <w:szCs w:val="32"/>
          <w:lang w:val="en-US" w:eastAsia="zh-CN"/>
        </w:rPr>
        <w:t>214.03</w:t>
      </w:r>
      <w:r>
        <w:rPr>
          <w:rFonts w:hint="eastAsia" w:ascii="仿宋_GB2312" w:hAnsi="仿宋_GB2312" w:cs="仿宋_GB2312"/>
          <w:bCs/>
          <w:szCs w:val="32"/>
        </w:rPr>
        <w:t>万元，比上年</w:t>
      </w:r>
      <w:r>
        <w:rPr>
          <w:rFonts w:hint="eastAsia" w:ascii="仿宋_GB2312" w:hAnsi="仿宋_GB2312" w:cs="仿宋_GB2312"/>
          <w:bCs/>
          <w:szCs w:val="32"/>
          <w:lang w:val="en-US" w:eastAsia="zh-CN"/>
        </w:rPr>
        <w:t>增加78.43</w:t>
      </w:r>
      <w:r>
        <w:rPr>
          <w:rFonts w:hint="eastAsia" w:ascii="仿宋_GB2312" w:hAnsi="仿宋_GB2312" w:cs="仿宋_GB2312"/>
          <w:bCs/>
          <w:szCs w:val="32"/>
        </w:rPr>
        <w:t>万元，</w:t>
      </w:r>
      <w:r>
        <w:rPr>
          <w:rFonts w:hint="eastAsia" w:ascii="仿宋_GB2312" w:hAnsi="仿宋_GB2312" w:cs="仿宋_GB2312"/>
          <w:bCs/>
          <w:szCs w:val="32"/>
          <w:lang w:val="en-US" w:eastAsia="zh-CN"/>
        </w:rPr>
        <w:t>增加57.84</w:t>
      </w:r>
      <w:r>
        <w:rPr>
          <w:rFonts w:hint="eastAsia" w:ascii="仿宋_GB2312" w:hAnsi="仿宋_GB2312" w:cs="仿宋_GB2312"/>
          <w:bCs/>
          <w:szCs w:val="32"/>
        </w:rPr>
        <w:t>%，主要原因是</w:t>
      </w:r>
      <w:r>
        <w:rPr>
          <w:rFonts w:hint="eastAsia" w:ascii="仿宋_GB2312" w:hAnsi="仿宋_GB2312" w:cs="仿宋_GB2312"/>
          <w:bCs/>
          <w:szCs w:val="32"/>
          <w:lang w:val="en-US" w:eastAsia="zh-CN"/>
        </w:rPr>
        <w:t>人员经费增加及年中支付一笔新墟塘口山洪监测站建站款和一笔X波段相控阵雷达网基础建设项目进度款</w:t>
      </w:r>
      <w:r>
        <w:rPr>
          <w:rFonts w:hint="eastAsia" w:ascii="仿宋_GB2312" w:hAnsi="仿宋_GB2312" w:cs="仿宋_GB2312"/>
          <w:bCs/>
          <w:szCs w:val="32"/>
        </w:rPr>
        <w:t>。</w:t>
      </w:r>
    </w:p>
    <w:p w14:paraId="40924204">
      <w:pPr>
        <w:ind w:firstLine="520"/>
        <w:rPr>
          <w:rFonts w:ascii="仿宋_GB2312" w:hAnsi="仿宋_GB2312" w:cs="仿宋_GB2312"/>
          <w:bCs/>
          <w:szCs w:val="32"/>
        </w:rPr>
      </w:pPr>
      <w:r>
        <w:rPr>
          <w:rFonts w:hint="eastAsia" w:ascii="仿宋_GB2312" w:hAnsi="仿宋_GB2312" w:cs="仿宋_GB2312"/>
          <w:b/>
          <w:bCs/>
          <w:szCs w:val="32"/>
        </w:rPr>
        <w:t>“三公”经费</w:t>
      </w:r>
      <w:bookmarkStart w:id="13" w:name="PO_part3A2Year1"/>
      <w:r>
        <w:rPr>
          <w:rFonts w:hint="eastAsia" w:ascii="仿宋_GB2312" w:hAnsi="仿宋_GB2312" w:cs="仿宋_GB2312"/>
          <w:b/>
          <w:bCs/>
          <w:szCs w:val="32"/>
        </w:rPr>
        <w:t>使用情况：</w:t>
      </w:r>
      <w:r>
        <w:rPr>
          <w:rFonts w:hint="eastAsia" w:ascii="仿宋_GB2312" w:hAnsi="仿宋_GB2312" w:cs="仿宋_GB2312"/>
          <w:bCs/>
          <w:szCs w:val="32"/>
        </w:rPr>
        <w:t>202</w:t>
      </w:r>
      <w:bookmarkEnd w:id="13"/>
      <w:r>
        <w:rPr>
          <w:rFonts w:hint="eastAsia" w:ascii="仿宋_GB2312" w:hAnsi="仿宋_GB2312" w:cs="仿宋_GB2312"/>
          <w:bCs/>
          <w:szCs w:val="32"/>
          <w:lang w:val="en-US" w:eastAsia="zh-CN"/>
        </w:rPr>
        <w:t>5</w:t>
      </w:r>
      <w:r>
        <w:rPr>
          <w:rFonts w:hint="eastAsia" w:ascii="仿宋_GB2312" w:hAnsi="仿宋_GB2312" w:cs="仿宋_GB2312"/>
          <w:bCs/>
          <w:szCs w:val="32"/>
        </w:rPr>
        <w:t>年本部门财政拨款安排“三公”经费</w:t>
      </w:r>
      <w:r>
        <w:rPr>
          <w:rFonts w:hint="eastAsia" w:ascii="仿宋_GB2312" w:hAnsi="仿宋_GB2312" w:cs="仿宋_GB2312"/>
          <w:bCs/>
          <w:szCs w:val="32"/>
          <w:lang w:val="en-US" w:eastAsia="zh-CN"/>
        </w:rPr>
        <w:t>1.74</w:t>
      </w:r>
      <w:r>
        <w:rPr>
          <w:rFonts w:hint="eastAsia" w:ascii="仿宋_GB2312" w:hAnsi="仿宋_GB2312" w:cs="仿宋_GB2312"/>
          <w:bCs/>
          <w:szCs w:val="32"/>
        </w:rPr>
        <w:t>万元，其中日常公务用车购置及运行费</w:t>
      </w:r>
      <w:r>
        <w:rPr>
          <w:rFonts w:hint="eastAsia" w:ascii="仿宋_GB2312" w:hAnsi="仿宋_GB2312" w:cs="仿宋_GB2312"/>
          <w:bCs/>
          <w:szCs w:val="32"/>
          <w:lang w:val="en-US" w:eastAsia="zh-CN"/>
        </w:rPr>
        <w:t>1.38</w:t>
      </w:r>
      <w:r>
        <w:rPr>
          <w:rFonts w:hint="eastAsia" w:ascii="仿宋_GB2312" w:hAnsi="仿宋_GB2312" w:cs="仿宋_GB2312"/>
          <w:bCs/>
          <w:szCs w:val="32"/>
        </w:rPr>
        <w:t>万元（公务用车购置费</w:t>
      </w:r>
      <w:bookmarkStart w:id="14" w:name="PO_part3A2Amount4"/>
      <w:r>
        <w:rPr>
          <w:rFonts w:hint="eastAsia" w:ascii="仿宋_GB2312" w:hAnsi="仿宋_GB2312" w:cs="仿宋_GB2312"/>
          <w:bCs/>
          <w:szCs w:val="32"/>
        </w:rPr>
        <w:t>0</w:t>
      </w:r>
      <w:bookmarkEnd w:id="14"/>
      <w:r>
        <w:rPr>
          <w:rFonts w:hint="eastAsia" w:ascii="仿宋_GB2312" w:hAnsi="仿宋_GB2312" w:cs="仿宋_GB2312"/>
          <w:bCs/>
          <w:szCs w:val="32"/>
        </w:rPr>
        <w:t>万元，日常公务用车运行维护费</w:t>
      </w:r>
      <w:r>
        <w:rPr>
          <w:rFonts w:hint="eastAsia" w:ascii="仿宋_GB2312" w:hAnsi="仿宋_GB2312" w:cs="仿宋_GB2312"/>
          <w:bCs/>
          <w:szCs w:val="32"/>
          <w:lang w:val="en-US" w:eastAsia="zh-CN"/>
        </w:rPr>
        <w:t>1.38</w:t>
      </w:r>
      <w:r>
        <w:rPr>
          <w:rFonts w:hint="eastAsia" w:ascii="仿宋_GB2312" w:hAnsi="仿宋_GB2312" w:cs="仿宋_GB2312"/>
          <w:bCs/>
          <w:szCs w:val="32"/>
        </w:rPr>
        <w:t>万元），比上年</w:t>
      </w:r>
      <w:bookmarkStart w:id="15" w:name="PO_part3A2IncAmount3"/>
      <w:r>
        <w:rPr>
          <w:rFonts w:hint="eastAsia" w:ascii="仿宋_GB2312" w:hAnsi="仿宋_GB2312" w:cs="仿宋_GB2312"/>
          <w:bCs/>
          <w:szCs w:val="32"/>
        </w:rPr>
        <w:t>增加</w:t>
      </w:r>
      <w:bookmarkEnd w:id="15"/>
      <w:r>
        <w:rPr>
          <w:rFonts w:hint="eastAsia" w:ascii="仿宋_GB2312" w:hAnsi="仿宋_GB2312" w:cs="仿宋_GB2312"/>
          <w:bCs/>
          <w:szCs w:val="32"/>
          <w:lang w:val="en-US" w:eastAsia="zh-CN"/>
        </w:rPr>
        <w:t>0.88</w:t>
      </w:r>
      <w:r>
        <w:rPr>
          <w:rFonts w:hint="eastAsia" w:ascii="仿宋_GB2312" w:hAnsi="仿宋_GB2312" w:cs="仿宋_GB2312"/>
          <w:bCs/>
          <w:szCs w:val="32"/>
        </w:rPr>
        <w:t>万元，</w:t>
      </w:r>
      <w:bookmarkStart w:id="16" w:name="PO_part3A2IncPercent3"/>
      <w:r>
        <w:rPr>
          <w:rFonts w:hint="eastAsia" w:ascii="仿宋_GB2312" w:hAnsi="仿宋_GB2312" w:cs="仿宋_GB2312"/>
          <w:bCs/>
          <w:szCs w:val="32"/>
        </w:rPr>
        <w:t>增长</w:t>
      </w:r>
      <w:bookmarkEnd w:id="16"/>
      <w:r>
        <w:rPr>
          <w:rFonts w:hint="eastAsia" w:ascii="仿宋_GB2312" w:hAnsi="仿宋_GB2312" w:cs="仿宋_GB2312"/>
          <w:bCs/>
          <w:szCs w:val="32"/>
          <w:lang w:val="en-US" w:eastAsia="zh-CN"/>
        </w:rPr>
        <w:t>176</w:t>
      </w:r>
      <w:r>
        <w:rPr>
          <w:rFonts w:hint="eastAsia" w:ascii="仿宋_GB2312" w:hAnsi="仿宋_GB2312" w:cs="仿宋_GB2312"/>
          <w:bCs/>
          <w:szCs w:val="32"/>
        </w:rPr>
        <w:t>%</w:t>
      </w:r>
      <w:r>
        <w:rPr>
          <w:rFonts w:hint="eastAsia" w:ascii="仿宋_GB2312" w:hAnsi="仿宋_GB2312" w:cs="仿宋_GB2312"/>
          <w:bCs/>
          <w:szCs w:val="32"/>
          <w:lang w:eastAsia="zh-CN"/>
        </w:rPr>
        <w:t>，</w:t>
      </w:r>
      <w:r>
        <w:rPr>
          <w:rFonts w:hint="eastAsia" w:ascii="仿宋_GB2312" w:hAnsi="仿宋_GB2312" w:cs="仿宋_GB2312"/>
          <w:bCs/>
          <w:szCs w:val="32"/>
          <w:lang w:val="en-US" w:eastAsia="zh-CN"/>
        </w:rPr>
        <w:t>主要原因是气象站站数多，考核严格，维护频率增加，所产生的公车运行维护费及全运会保障期间赴云浮肇庆等地产生的公车运行维护费</w:t>
      </w:r>
      <w:r>
        <w:rPr>
          <w:rFonts w:hint="eastAsia" w:ascii="仿宋_GB2312" w:hAnsi="仿宋_GB2312" w:cs="仿宋_GB2312"/>
          <w:bCs/>
          <w:szCs w:val="32"/>
        </w:rPr>
        <w:t>；公务接待费</w:t>
      </w:r>
      <w:bookmarkStart w:id="17" w:name="PO_part3A2Amount6"/>
      <w:r>
        <w:rPr>
          <w:rFonts w:hint="eastAsia" w:ascii="仿宋_GB2312" w:hAnsi="仿宋_GB2312" w:cs="仿宋_GB2312"/>
          <w:bCs/>
          <w:szCs w:val="32"/>
        </w:rPr>
        <w:t>0.36</w:t>
      </w:r>
      <w:bookmarkEnd w:id="17"/>
      <w:r>
        <w:rPr>
          <w:rFonts w:hint="eastAsia" w:ascii="仿宋_GB2312" w:hAnsi="仿宋_GB2312" w:cs="仿宋_GB2312"/>
          <w:bCs/>
          <w:szCs w:val="32"/>
        </w:rPr>
        <w:t>万元，比上年</w:t>
      </w:r>
      <w:bookmarkStart w:id="18" w:name="PO_part3A2IncAmount4"/>
      <w:r>
        <w:rPr>
          <w:rFonts w:hint="eastAsia" w:ascii="仿宋_GB2312" w:hAnsi="仿宋_GB2312" w:cs="仿宋_GB2312"/>
          <w:bCs/>
          <w:szCs w:val="32"/>
        </w:rPr>
        <w:t>增加0</w:t>
      </w:r>
      <w:bookmarkEnd w:id="18"/>
      <w:r>
        <w:rPr>
          <w:rFonts w:hint="eastAsia" w:ascii="仿宋_GB2312" w:hAnsi="仿宋_GB2312" w:cs="仿宋_GB2312"/>
          <w:bCs/>
          <w:szCs w:val="32"/>
        </w:rPr>
        <w:t>万元，</w:t>
      </w:r>
      <w:bookmarkStart w:id="19" w:name="PO_part3A2IncPercent4"/>
      <w:r>
        <w:rPr>
          <w:rFonts w:hint="eastAsia" w:ascii="仿宋_GB2312" w:hAnsi="仿宋_GB2312" w:cs="仿宋_GB2312"/>
          <w:bCs/>
          <w:szCs w:val="32"/>
        </w:rPr>
        <w:t>增长0</w:t>
      </w:r>
      <w:bookmarkEnd w:id="19"/>
      <w:r>
        <w:rPr>
          <w:rFonts w:hint="eastAsia" w:ascii="仿宋_GB2312" w:hAnsi="仿宋_GB2312" w:cs="仿宋_GB2312"/>
          <w:bCs/>
          <w:szCs w:val="32"/>
        </w:rPr>
        <w:t>%。</w:t>
      </w:r>
    </w:p>
    <w:p w14:paraId="7AA2FD7D">
      <w:pPr>
        <w:ind w:firstLine="520"/>
        <w:rPr>
          <w:rFonts w:hint="eastAsia" w:ascii="仿宋_GB2312" w:hAnsi="仿宋_GB2312" w:eastAsia="仿宋_GB2312" w:cs="仿宋_GB2312"/>
          <w:bCs/>
          <w:szCs w:val="32"/>
          <w:lang w:bidi="ar"/>
        </w:rPr>
      </w:pPr>
      <w:r>
        <w:rPr>
          <w:rFonts w:hint="eastAsia" w:ascii="仿宋_GB2312" w:hAnsi="仿宋_GB2312" w:cs="仿宋_GB2312"/>
          <w:b/>
          <w:bCs/>
          <w:szCs w:val="32"/>
        </w:rPr>
        <w:t>日常公用经费使用情况：</w:t>
      </w:r>
      <w:r>
        <w:rPr>
          <w:rFonts w:hint="eastAsia" w:ascii="仿宋_GB2312" w:hAnsi="仿宋_GB2312" w:cs="仿宋_GB2312"/>
          <w:bCs/>
          <w:szCs w:val="32"/>
        </w:rPr>
        <w:t>202</w:t>
      </w:r>
      <w:r>
        <w:rPr>
          <w:rFonts w:hint="eastAsia" w:ascii="仿宋_GB2312" w:hAnsi="仿宋_GB2312" w:cs="仿宋_GB2312"/>
          <w:bCs/>
          <w:szCs w:val="32"/>
          <w:lang w:val="en-US" w:eastAsia="zh-CN"/>
        </w:rPr>
        <w:t>5</w:t>
      </w:r>
      <w:r>
        <w:rPr>
          <w:rFonts w:hint="eastAsia" w:ascii="仿宋_GB2312" w:hAnsi="仿宋_GB2312" w:cs="仿宋_GB2312"/>
          <w:bCs/>
          <w:szCs w:val="32"/>
        </w:rPr>
        <w:t>年日常公用经费合计</w:t>
      </w:r>
      <w:r>
        <w:rPr>
          <w:rFonts w:hint="eastAsia" w:ascii="仿宋_GB2312" w:hAnsi="仿宋_GB2312" w:cs="仿宋_GB2312"/>
          <w:bCs/>
          <w:szCs w:val="32"/>
          <w:lang w:val="en-US" w:eastAsia="zh-CN"/>
        </w:rPr>
        <w:t>24.64</w:t>
      </w:r>
      <w:r>
        <w:rPr>
          <w:rFonts w:hint="eastAsia" w:ascii="仿宋_GB2312" w:hAnsi="仿宋_GB2312" w:cs="仿宋_GB2312"/>
          <w:bCs/>
          <w:szCs w:val="32"/>
        </w:rPr>
        <w:t>万元，包括办公经费</w:t>
      </w:r>
      <w:r>
        <w:rPr>
          <w:rFonts w:hint="eastAsia" w:ascii="仿宋_GB2312" w:hAnsi="仿宋_GB2312" w:cs="仿宋_GB2312"/>
          <w:bCs/>
          <w:szCs w:val="32"/>
          <w:lang w:val="en-US" w:eastAsia="zh-CN"/>
        </w:rPr>
        <w:t>10.60</w:t>
      </w:r>
      <w:r>
        <w:rPr>
          <w:rFonts w:hint="eastAsia" w:ascii="仿宋_GB2312" w:hAnsi="仿宋_GB2312" w:cs="仿宋_GB2312"/>
          <w:bCs/>
          <w:szCs w:val="32"/>
        </w:rPr>
        <w:t>万元，设备购置费3.00万元，维修经费</w:t>
      </w:r>
      <w:r>
        <w:rPr>
          <w:rFonts w:hint="eastAsia" w:ascii="仿宋_GB2312" w:hAnsi="仿宋_GB2312" w:cs="仿宋_GB2312"/>
          <w:bCs/>
          <w:szCs w:val="32"/>
          <w:lang w:val="en-US" w:eastAsia="zh-CN"/>
        </w:rPr>
        <w:t>8.4</w:t>
      </w:r>
      <w:r>
        <w:rPr>
          <w:rFonts w:hint="eastAsia" w:ascii="仿宋_GB2312" w:hAnsi="仿宋_GB2312" w:cs="仿宋_GB2312"/>
          <w:bCs/>
          <w:szCs w:val="32"/>
        </w:rPr>
        <w:t>0万元，线路租赁费2.64万元。</w:t>
      </w:r>
      <w:r>
        <w:rPr>
          <w:rFonts w:hint="eastAsia" w:ascii="仿宋_GB2312" w:hAnsi="仿宋_GB2312" w:cs="仿宋_GB2312"/>
          <w:bCs/>
          <w:szCs w:val="32"/>
          <w:lang w:val="en-US" w:eastAsia="zh-CN"/>
        </w:rPr>
        <w:t>本单位2025年日常办公经费10.60万元，比上年减少0.80万元，下降7%，主要原因是根据政府过紧日子要求，公用经费进行了一定比例的压减。</w:t>
      </w:r>
    </w:p>
    <w:p w14:paraId="3224F48F">
      <w:pPr>
        <w:ind w:firstLine="520"/>
        <w:rPr>
          <w:rFonts w:hint="eastAsia" w:ascii="仿宋_GB2312" w:hAnsi="仿宋_GB2312" w:eastAsia="仿宋_GB2312" w:cs="仿宋_GB2312"/>
          <w:b/>
        </w:rPr>
      </w:pPr>
      <w:r>
        <w:rPr>
          <w:rFonts w:hint="eastAsia" w:ascii="仿宋_GB2312" w:hAnsi="仿宋_GB2312" w:eastAsia="仿宋_GB2312" w:cs="仿宋_GB2312"/>
          <w:b/>
        </w:rPr>
        <w:t>（四）部门整体支出绩效目标。</w:t>
      </w:r>
    </w:p>
    <w:p w14:paraId="5DC15CA2">
      <w:pPr>
        <w:spacing w:line="600" w:lineRule="exact"/>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围绕部门职能和年度重点工作任务，以定量（量化指标）和定性（文字表述）相结合的方式综合表述在预算年度内部门履职所要达到的总体成果和效果。重点包括：上级部门和县委、县政府下达的工作目标及相关考核指标目标值；预算年度内县级财政预算安排项目支出预计产出和效益（可对部门重点支出项目分列绩效目标或表格形式列示）；最能体现部门职能的相关工作目标等。</w:t>
      </w:r>
    </w:p>
    <w:p w14:paraId="17208DA3">
      <w:pPr>
        <w:numPr>
          <w:ilvl w:val="0"/>
          <w:numId w:val="1"/>
        </w:numPr>
        <w:ind w:firstLine="616" w:firstLineChars="200"/>
        <w:rPr>
          <w:rFonts w:hint="eastAsia" w:ascii="仿宋_GB2312" w:hAnsi="仿宋_GB2312" w:eastAsia="仿宋_GB2312" w:cs="仿宋_GB2312"/>
          <w:szCs w:val="32"/>
        </w:rPr>
      </w:pPr>
      <w:bookmarkStart w:id="20" w:name="_Toc4514_WPSOffice_Level1"/>
      <w:bookmarkStart w:id="21" w:name="_Toc22180"/>
      <w:r>
        <w:rPr>
          <w:rFonts w:hint="eastAsia" w:ascii="仿宋_GB2312" w:hAnsi="仿宋_GB2312" w:cs="仿宋_GB2312"/>
          <w:b/>
          <w:bCs/>
          <w:szCs w:val="32"/>
          <w:lang w:val="en-US" w:eastAsia="zh-CN"/>
        </w:rPr>
        <w:t>精准预报预警工作</w:t>
      </w:r>
      <w:r>
        <w:rPr>
          <w:rFonts w:hint="eastAsia" w:ascii="仿宋_GB2312" w:hAnsi="仿宋_GB2312" w:eastAsia="仿宋_GB2312" w:cs="仿宋_GB2312"/>
          <w:b/>
          <w:bCs/>
          <w:szCs w:val="32"/>
        </w:rPr>
        <w:t>：</w:t>
      </w:r>
      <w:r>
        <w:rPr>
          <w:rFonts w:hint="eastAsia" w:ascii="仿宋_GB2312" w:hAnsi="仿宋_GB2312" w:eastAsia="仿宋_GB2312" w:cs="仿宋_GB2312"/>
          <w:szCs w:val="32"/>
        </w:rPr>
        <w:t>202</w:t>
      </w:r>
      <w:r>
        <w:rPr>
          <w:rFonts w:hint="eastAsia" w:ascii="仿宋_GB2312" w:hAnsi="仿宋_GB2312" w:cs="仿宋_GB2312"/>
          <w:szCs w:val="32"/>
          <w:lang w:val="en-US" w:eastAsia="zh-CN"/>
        </w:rPr>
        <w:t>5</w:t>
      </w:r>
      <w:r>
        <w:rPr>
          <w:rFonts w:hint="eastAsia" w:ascii="仿宋_GB2312" w:hAnsi="仿宋_GB2312" w:eastAsia="仿宋_GB2312" w:cs="仿宋_GB2312"/>
          <w:szCs w:val="32"/>
        </w:rPr>
        <w:t>年，我局共发布重大气象信息快报31期；重大气象信息专报5期，天气报告40期，气象值班信息37期，微博2234条，决策短信359293人次，预警信号268次。预警发布及时准确，未漏发灾害性天气预警。统筹做好春运、春耕春播、龙舟水、汛期、高考、森林防火等各项气象服务。灾害防御联动持续深化</w:t>
      </w:r>
      <w:r>
        <w:rPr>
          <w:rFonts w:hint="eastAsia" w:ascii="仿宋_GB2312" w:hAnsi="仿宋_GB2312" w:cs="仿宋_GB2312"/>
          <w:szCs w:val="32"/>
          <w:lang w:eastAsia="zh-CN"/>
        </w:rPr>
        <w:t>，</w:t>
      </w:r>
      <w:r>
        <w:rPr>
          <w:rFonts w:hint="eastAsia" w:ascii="仿宋_GB2312" w:hAnsi="仿宋_GB2312" w:eastAsia="仿宋_GB2312" w:cs="仿宋_GB2312"/>
          <w:szCs w:val="32"/>
        </w:rPr>
        <w:t>加强部门高效联动，完善气象灾害预警叫应流程和标准，加强恶劣天气外呼平台应用，落实暴雨、雷雨大风、台风橙色、红色预警双重“叫应”机制，提醒相关部门及时做好防御工作。“三联促三动”机制高效运行，与县消防救援大队围绕防御台风“蝴蝶”及特大暴雨落区等开展座谈交流。完善预警“叫应”流程，严格落实双重“叫应”机制，累计启动台风、暴雨、雷雨大风橙色、红色预警叫应机制88次</w:t>
      </w:r>
      <w:r>
        <w:rPr>
          <w:rFonts w:hint="eastAsia" w:ascii="仿宋_GB2312" w:hAnsi="仿宋_GB2312" w:cs="仿宋_GB2312"/>
          <w:szCs w:val="32"/>
          <w:lang w:eastAsia="zh-CN"/>
        </w:rPr>
        <w:t>，</w:t>
      </w:r>
      <w:r>
        <w:rPr>
          <w:rFonts w:hint="eastAsia" w:ascii="仿宋_GB2312" w:hAnsi="仿宋_GB2312" w:eastAsia="仿宋_GB2312" w:cs="仿宋_GB2312"/>
          <w:szCs w:val="32"/>
        </w:rPr>
        <w:t>切实提升了我县气象灾害防范应对工作，保障人民群众生命财产安全。</w:t>
      </w:r>
    </w:p>
    <w:p w14:paraId="6C648F40">
      <w:pPr>
        <w:numPr>
          <w:ilvl w:val="0"/>
          <w:numId w:val="0"/>
        </w:num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（2）百千万工程相关工作：</w:t>
      </w:r>
      <w:r>
        <w:rPr>
          <w:rFonts w:hint="eastAsia" w:ascii="仿宋_GB2312" w:hAnsi="仿宋_GB2312" w:eastAsia="仿宋_GB2312" w:cs="仿宋_GB2312"/>
          <w:szCs w:val="32"/>
        </w:rPr>
        <w:t>持续推进“百千万”工程项目，协助丹江社区完成人居环境整治和绿化任务，协助完善应急安置点的建设。完成上级下达创文创卫任务清单，持续改善责任网格区风情风貌。立足阳西县农业大县、沿海县实际，组织党员技术骨干深入田间地头、养殖基地开展调研，针对水稻、荔枝、对虾等特色种养产业，开展农事气象指导，助力农业提质增效。</w:t>
      </w:r>
    </w:p>
    <w:p w14:paraId="5BE1A5BE">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（3）人工影响天气工作：</w:t>
      </w:r>
      <w:r>
        <w:rPr>
          <w:rFonts w:hint="eastAsia" w:ascii="仿宋_GB2312" w:hAnsi="仿宋_GB2312" w:eastAsia="仿宋_GB2312" w:cs="仿宋_GB2312"/>
          <w:szCs w:val="32"/>
        </w:rPr>
        <w:t>在市局指导和县委县政府的要求下继续开展，伺机开展人工增雨作业，并对人影作业点巡视勘察，排查可能出现的隐患，确保作业安全顺利。</w:t>
      </w:r>
    </w:p>
    <w:p w14:paraId="61579222">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（4）行政审批工作：</w:t>
      </w:r>
      <w:r>
        <w:rPr>
          <w:rFonts w:hint="eastAsia" w:ascii="仿宋_GB2312" w:hAnsi="仿宋_GB2312" w:eastAsia="仿宋_GB2312" w:cs="仿宋_GB2312"/>
          <w:szCs w:val="32"/>
        </w:rPr>
        <w:t>不断优化营商环境，深化气象“放管服”改革，优化政务服务。推进行政许可“一窗办理”、“全市通办”与全流程网上审批，做好广东省政务服务网和建设工程项目审批平台许可事项流程优化再造；防雷装置设计审核实行承诺制，做到及时受理、按时办结和零投诉。</w:t>
      </w:r>
    </w:p>
    <w:p w14:paraId="10D93461">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（5）安全生产工作：</w:t>
      </w:r>
      <w:r>
        <w:rPr>
          <w:rFonts w:hint="eastAsia" w:ascii="仿宋_GB2312" w:hAnsi="仿宋_GB2312" w:eastAsia="仿宋_GB2312" w:cs="仿宋_GB2312"/>
          <w:szCs w:val="32"/>
        </w:rPr>
        <w:t>持之以恒抓好安全生产，全面落实“党政同责、一岗双责”要求，制定了年度安全生产工作要点和检查计划，确保安全生产各项工作稳步有序开展。充分发挥“互联网+监管”模式开展检查督查工作，积极利用广东省气象安全在线监管平台对我县易燃易爆炸场所防雷定期检测开展在线监管工作。</w:t>
      </w:r>
    </w:p>
    <w:p w14:paraId="08593B17">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（6）气象科普宣传工作：</w:t>
      </w:r>
      <w:r>
        <w:rPr>
          <w:rFonts w:hint="eastAsia" w:ascii="仿宋_GB2312" w:hAnsi="仿宋_GB2312" w:eastAsia="仿宋_GB2312" w:cs="仿宋_GB2312"/>
          <w:szCs w:val="32"/>
        </w:rPr>
        <w:t>加强调查研究，主动到群众中去，了解社会各界对气象服务的真实需求，准确把握气象科普宣传工作的关键点、着力点，围绕汛期气象服务重点、社会关注热点、高影响天气过程等。联合阳西县第二中学协同开展气象科普进校园系列活动。3月21日，到阳西县织篢中心小学开展气象主题科普讲座《认识台风，防范台风》。</w:t>
      </w:r>
      <w:r>
        <w:rPr>
          <w:rFonts w:hint="eastAsia" w:ascii="仿宋_GB2312" w:hAnsi="仿宋_GB2312" w:cs="仿宋_GB2312"/>
          <w:szCs w:val="32"/>
          <w:lang w:val="en-US" w:eastAsia="zh-CN"/>
        </w:rPr>
        <w:t>6月24日，</w:t>
      </w:r>
      <w:r>
        <w:rPr>
          <w:rFonts w:hint="eastAsia" w:ascii="仿宋_GB2312" w:hAnsi="仿宋_GB2312" w:eastAsia="仿宋_GB2312" w:cs="仿宋_GB2312"/>
          <w:szCs w:val="32"/>
        </w:rPr>
        <w:t>在县人民广场开展安全生产月宣传咨询活动。</w:t>
      </w:r>
    </w:p>
    <w:p w14:paraId="6F1F3EE5">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（7）意识形态领域和保密工作：</w:t>
      </w:r>
      <w:r>
        <w:rPr>
          <w:rFonts w:hint="eastAsia" w:ascii="仿宋_GB2312" w:hAnsi="仿宋_GB2312" w:eastAsia="仿宋_GB2312" w:cs="仿宋_GB2312"/>
          <w:szCs w:val="32"/>
        </w:rPr>
        <w:t>加强职工思想建设，定期分析研判意识形态领域风险，组织学习党的路线方针政策，提高政治站位，密切关注职工思想动态，确保全局上下思想统一、行动一致。严格执行国家保密法律法规，加强涉密人员和涉密信息管理，定期开展保密教育培训，提高全局职工的保密意识。</w:t>
      </w:r>
    </w:p>
    <w:p w14:paraId="234311FC">
      <w:pPr>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b/>
          <w:bCs/>
          <w:szCs w:val="32"/>
        </w:rPr>
        <w:t>（8）党的建设工作：</w:t>
      </w:r>
      <w:r>
        <w:rPr>
          <w:rFonts w:hint="eastAsia" w:ascii="仿宋_GB2312" w:hAnsi="仿宋_GB2312" w:eastAsia="仿宋_GB2312" w:cs="仿宋_GB2312"/>
          <w:szCs w:val="32"/>
        </w:rPr>
        <w:t>在县委县政府和市局党组的正确领导下，全体党员领导干部，深入学习贯彻党的二十大、二十届三中全会精神和习近平总书记系列重要讲话精神，以党建工作为核心，切实抓好全面从严治党工作，不断深化党建业务深度融合发展，严格落实一岗双责。深学细悟习近平总书记关于党的建设的重要思想和关于党的自我革命的重要思想，严格执行“第一议题”制度。扎实做好学习教育工作。第一时间成立学习教育领导小组，由党支部书记担任组长，制定详实的学习教育方案和集中整治计划，明确目标任务、时间节点和责任分工，确保学习教育有序有力推进。坚持集中学习与个人自学相结合、线上学习与线下研讨相促进。组织全体党员原原本本学习中央八项规定及其实施细则精神、习近平关于加强党的作风建设论述摘编等核心内容。履行主体责任，抓常抓细抓长。认真贯彻国家有关条例，落实县委县政府的党建工作部署，局党支部带头落实主体责任，加强对党建工作具体指导。对照工作责任清单，抓好日常党建工作。坚持以党组织书记为第一责任人，抓细落实省气象局巡察组巡察反馈意见的整改工作，解决顽固性、遗留性问题，并形成长效机制。通过召开警示教育会，通报违纪违法典型案例，参观警示教育基地，增强纪律教育的针对性和实效性。</w:t>
      </w:r>
    </w:p>
    <w:p w14:paraId="247C6955">
      <w:pPr>
        <w:ind w:firstLine="616" w:firstLineChars="200"/>
        <w:rPr>
          <w:rFonts w:hint="eastAsia" w:ascii="仿宋_GB2312" w:hAnsi="仿宋_GB2312" w:eastAsia="仿宋_GB2312" w:cs="仿宋_GB2312"/>
          <w:b/>
          <w:bCs/>
        </w:rPr>
      </w:pPr>
      <w:r>
        <w:rPr>
          <w:rFonts w:hint="eastAsia" w:ascii="仿宋_GB2312" w:hAnsi="仿宋_GB2312" w:eastAsia="仿宋_GB2312" w:cs="仿宋_GB2312"/>
          <w:b/>
          <w:bCs/>
        </w:rPr>
        <w:t>二、绩效自评结论</w:t>
      </w:r>
      <w:bookmarkEnd w:id="20"/>
      <w:bookmarkEnd w:id="21"/>
    </w:p>
    <w:p w14:paraId="1D76719D">
      <w:pPr>
        <w:snapToGrid w:val="0"/>
        <w:spacing w:line="360" w:lineRule="auto"/>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包含整体支出绩效自评结论（综合评判单位在预算年度内整体支出绩效目标的完成情况及其履行职责的经济性、效率性、效果性和公平性）、自评分数和等级。</w:t>
      </w:r>
    </w:p>
    <w:p w14:paraId="1540D5CB">
      <w:pPr>
        <w:snapToGrid w:val="0"/>
        <w:spacing w:line="360" w:lineRule="auto"/>
        <w:ind w:firstLine="616" w:firstLineChars="200"/>
        <w:rPr>
          <w:rFonts w:hint="eastAsia" w:ascii="仿宋_GB2312" w:hAnsi="仿宋_GB2312" w:eastAsia="仿宋_GB2312" w:cs="仿宋_GB2312"/>
          <w:szCs w:val="32"/>
        </w:rPr>
      </w:pPr>
      <w:r>
        <w:rPr>
          <w:rFonts w:hint="eastAsia" w:ascii="仿宋_GB2312" w:hAnsi="仿宋_GB2312" w:eastAsia="仿宋_GB2312" w:cs="仿宋_GB2312"/>
          <w:szCs w:val="32"/>
        </w:rPr>
        <w:t>本单位在202</w:t>
      </w:r>
      <w:r>
        <w:rPr>
          <w:rFonts w:hint="eastAsia" w:ascii="仿宋_GB2312" w:hAnsi="仿宋_GB2312" w:cs="仿宋_GB2312"/>
          <w:szCs w:val="32"/>
          <w:lang w:val="en-US" w:eastAsia="zh-CN"/>
        </w:rPr>
        <w:t>5</w:t>
      </w:r>
      <w:r>
        <w:rPr>
          <w:rFonts w:hint="eastAsia" w:ascii="仿宋_GB2312" w:hAnsi="仿宋_GB2312" w:eastAsia="仿宋_GB2312" w:cs="仿宋_GB2312"/>
          <w:szCs w:val="32"/>
        </w:rPr>
        <w:t>年预算年度预算编制、预算执行和资金使用效益方面工作及时准确，我局整体支出绩效目标全部完成、履行职责的经济性、效率性、效果性和公平性情况较好，因此本单位整体支出绩效自评自评分数得分</w:t>
      </w:r>
      <w:r>
        <w:rPr>
          <w:rFonts w:hint="eastAsia" w:ascii="仿宋_GB2312" w:hAnsi="仿宋_GB2312" w:cs="仿宋_GB2312"/>
          <w:szCs w:val="32"/>
          <w:lang w:val="en-US" w:eastAsia="zh-CN"/>
        </w:rPr>
        <w:t>97.50</w:t>
      </w:r>
      <w:r>
        <w:rPr>
          <w:rFonts w:hint="eastAsia" w:ascii="仿宋_GB2312" w:hAnsi="仿宋_GB2312" w:eastAsia="仿宋_GB2312" w:cs="仿宋_GB2312"/>
          <w:szCs w:val="32"/>
        </w:rPr>
        <w:t>分，等级为优。</w:t>
      </w:r>
    </w:p>
    <w:p w14:paraId="2786CD2F">
      <w:pPr>
        <w:ind w:firstLine="616" w:firstLineChars="200"/>
        <w:rPr>
          <w:rFonts w:hint="eastAsia" w:ascii="仿宋_GB2312" w:hAnsi="仿宋_GB2312" w:eastAsia="仿宋_GB2312" w:cs="仿宋_GB2312"/>
          <w:b/>
          <w:bCs/>
        </w:rPr>
      </w:pPr>
      <w:bookmarkStart w:id="22" w:name="_Toc2998_WPSOffice_Level1"/>
      <w:bookmarkStart w:id="23" w:name="_Toc2072"/>
      <w:r>
        <w:rPr>
          <w:rFonts w:hint="eastAsia" w:ascii="仿宋_GB2312" w:hAnsi="仿宋_GB2312" w:eastAsia="仿宋_GB2312" w:cs="仿宋_GB2312"/>
          <w:b/>
          <w:bCs/>
        </w:rPr>
        <w:t>三、绩效自评分析</w:t>
      </w:r>
      <w:bookmarkEnd w:id="22"/>
      <w:bookmarkEnd w:id="23"/>
    </w:p>
    <w:p w14:paraId="57144584">
      <w:pPr>
        <w:ind w:firstLine="616" w:firstLineChars="200"/>
        <w:rPr>
          <w:rFonts w:hint="eastAsia" w:ascii="仿宋_GB2312" w:hAnsi="仿宋_GB2312" w:eastAsia="仿宋_GB2312" w:cs="仿宋_GB2312"/>
          <w:b/>
        </w:rPr>
      </w:pPr>
      <w:bookmarkStart w:id="24" w:name="_Toc19924"/>
      <w:bookmarkStart w:id="25" w:name="_Toc22677"/>
      <w:bookmarkStart w:id="26" w:name="_Toc26765_WPSOffice_Level3"/>
      <w:bookmarkStart w:id="27" w:name="_Toc27392_WPSOffice_Level2"/>
      <w:r>
        <w:rPr>
          <w:rFonts w:hint="eastAsia" w:ascii="仿宋_GB2312" w:hAnsi="仿宋_GB2312" w:eastAsia="仿宋_GB2312" w:cs="仿宋_GB2312"/>
          <w:b/>
        </w:rPr>
        <w:t>（一）预算编制情况</w:t>
      </w:r>
      <w:bookmarkEnd w:id="24"/>
      <w:bookmarkEnd w:id="25"/>
      <w:bookmarkEnd w:id="26"/>
      <w:bookmarkEnd w:id="27"/>
      <w:r>
        <w:rPr>
          <w:rFonts w:hint="eastAsia" w:ascii="仿宋_GB2312" w:hAnsi="仿宋_GB2312" w:eastAsia="仿宋_GB2312" w:cs="仿宋_GB2312"/>
          <w:b/>
        </w:rPr>
        <w:t>。</w:t>
      </w:r>
    </w:p>
    <w:p w14:paraId="33009998">
      <w:pPr>
        <w:ind w:firstLine="924" w:firstLineChars="300"/>
        <w:rPr>
          <w:rFonts w:hint="eastAsia" w:ascii="仿宋_GB2312" w:hAnsi="仿宋_GB2312" w:eastAsia="仿宋_GB2312" w:cs="仿宋_GB2312"/>
          <w:szCs w:val="32"/>
          <w:lang w:bidi="ar"/>
        </w:rPr>
      </w:pPr>
      <w:bookmarkStart w:id="28" w:name="_Toc4521"/>
      <w:r>
        <w:rPr>
          <w:rFonts w:hint="eastAsia" w:ascii="仿宋_GB2312" w:hAnsi="仿宋_GB2312" w:eastAsia="仿宋_GB2312" w:cs="仿宋_GB2312"/>
          <w:szCs w:val="32"/>
          <w:lang w:bidi="ar"/>
        </w:rPr>
        <w:t>1.预算编制合理性及规范性。</w:t>
      </w:r>
      <w:bookmarkEnd w:id="28"/>
    </w:p>
    <w:p w14:paraId="481896BC">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人员经费：按照县财政局相关部门核定的各项人员经费标准核算人员经费。</w:t>
      </w:r>
    </w:p>
    <w:p w14:paraId="22B456B7">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公用经费：办公经费按照县财政局相关部门核定标准核算，维修维护经费、设备购置费和线路租赁费按往年要求进行核算。</w:t>
      </w:r>
    </w:p>
    <w:p w14:paraId="14AD7DD2">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（1）预算编制合理性：本单位202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预算编制、分配，符合本部门职责、符合县委县政府的方针政策和工作要求；能根据年度工作重点，在不同项目、不同用途之间分配合理的；专项资金编制细化程度合理，功能分类和经济分类编制准确，未出现因年中调剂导致部门预决算差异过大、项目之间未频繁调剂的问题；预算分配不固化，能根据实际情况合理调整。此项得4分。</w:t>
      </w:r>
    </w:p>
    <w:p w14:paraId="248069C7">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（2）预算编制规范性：本单位202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预算编制符合当年县财政部门印发的预算编制工作方案、通知和有关制度要求；按要求做好项目库工作，符合项目库入库管理、评审管理等要求；除特殊项目外，项目支出预算按要求细化到具体用款单位和具体执行项目。此项得4分。</w:t>
      </w:r>
    </w:p>
    <w:p w14:paraId="776D8ABB">
      <w:pPr>
        <w:rPr>
          <w:rFonts w:hint="eastAsia" w:ascii="仿宋_GB2312" w:hAnsi="仿宋_GB2312" w:eastAsia="仿宋_GB2312" w:cs="仿宋_GB2312"/>
          <w:szCs w:val="32"/>
          <w:lang w:bidi="ar"/>
        </w:rPr>
      </w:pPr>
      <w:bookmarkStart w:id="29" w:name="_Toc8156"/>
      <w:r>
        <w:rPr>
          <w:rFonts w:hint="eastAsia" w:ascii="仿宋_GB2312" w:hAnsi="仿宋_GB2312" w:eastAsia="仿宋_GB2312" w:cs="仿宋_GB2312"/>
          <w:szCs w:val="32"/>
          <w:lang w:bidi="ar"/>
        </w:rPr>
        <w:t xml:space="preserve">      2.目标设置情况。</w:t>
      </w:r>
      <w:bookmarkEnd w:id="29"/>
    </w:p>
    <w:p w14:paraId="67C8D800">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预算编制目标：全面了解统计下一年重点工作经费，合理分类规划经费安排，确保日常工作和其他专项工作顺利进行。</w:t>
      </w:r>
    </w:p>
    <w:p w14:paraId="493662ED">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绩效目标合理性：整体绩效目标体现阳西县气象局“三定”方案规定的部门职能、中长期规划和年度工作计划的；整体绩效目标与年度工作任务相符的，能分解成具体工作任务并形成相应的绩效指标的；整体绩效目标与本年度部门预算资金相匹配的；部门申报的项目及相应的绩效目标有进行可行性研究和充分论证的。此项得6分。</w:t>
      </w:r>
    </w:p>
    <w:p w14:paraId="6AC2126C">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（2）绩效目标完整性：本单位按要求编报部门整体绩效目标和项目绩效目标，覆盖全面；按时按质报送部门整体绩效目标和项目绩效目标，内容完整准确的。此项得2分。</w:t>
      </w:r>
    </w:p>
    <w:p w14:paraId="1014C034">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3）绩效指标明确性：本单位绩效指标能反映绩效目标；绩效指标设有明确的指标名称、指标预期值，指标值与指标名称相匹配，且取值适中合理、有依据、不存在明显偏高或偏低的情形；绩效指标包含可量化的指标的并明确计算方法；绩效指标的指标值测算能提供相关依据或符合客观实际情况；此项得4分。</w:t>
      </w:r>
    </w:p>
    <w:p w14:paraId="06EE088E">
      <w:pPr>
        <w:ind w:firstLine="616" w:firstLineChars="200"/>
        <w:rPr>
          <w:rFonts w:hint="eastAsia" w:ascii="仿宋_GB2312" w:hAnsi="仿宋_GB2312" w:eastAsia="仿宋_GB2312" w:cs="仿宋_GB2312"/>
          <w:b/>
        </w:rPr>
      </w:pPr>
      <w:bookmarkStart w:id="30" w:name="_Toc19200_WPSOffice_Level2"/>
      <w:bookmarkStart w:id="31" w:name="_Toc5828_WPSOffice_Level3"/>
      <w:bookmarkStart w:id="32" w:name="_Toc32482"/>
      <w:bookmarkStart w:id="33" w:name="_Toc13662"/>
      <w:r>
        <w:rPr>
          <w:rFonts w:hint="eastAsia" w:ascii="仿宋_GB2312" w:hAnsi="仿宋_GB2312" w:eastAsia="仿宋_GB2312" w:cs="仿宋_GB2312"/>
          <w:b/>
        </w:rPr>
        <w:t>（二）预算执行情况</w:t>
      </w:r>
      <w:bookmarkEnd w:id="30"/>
      <w:bookmarkEnd w:id="31"/>
      <w:bookmarkEnd w:id="32"/>
      <w:bookmarkEnd w:id="33"/>
      <w:r>
        <w:rPr>
          <w:rFonts w:hint="eastAsia" w:ascii="仿宋_GB2312" w:hAnsi="仿宋_GB2312" w:eastAsia="仿宋_GB2312" w:cs="仿宋_GB2312"/>
          <w:b/>
        </w:rPr>
        <w:t>。</w:t>
      </w:r>
    </w:p>
    <w:p w14:paraId="46DCDAE0">
      <w:pPr>
        <w:ind w:firstLine="924" w:firstLineChars="300"/>
        <w:rPr>
          <w:rFonts w:hint="eastAsia" w:ascii="仿宋_GB2312" w:hAnsi="仿宋_GB2312" w:eastAsia="仿宋_GB2312" w:cs="仿宋_GB2312"/>
          <w:bCs/>
          <w:szCs w:val="32"/>
          <w:lang w:bidi="ar"/>
        </w:rPr>
      </w:pPr>
      <w:r>
        <w:rPr>
          <w:rFonts w:hint="eastAsia" w:ascii="仿宋_GB2312" w:hAnsi="仿宋_GB2312" w:eastAsia="仿宋_GB2312" w:cs="仿宋_GB2312"/>
          <w:szCs w:val="32"/>
          <w:lang w:bidi="ar"/>
        </w:rPr>
        <w:t>1.制度管理。</w:t>
      </w:r>
    </w:p>
    <w:p w14:paraId="66A20E87">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包括管理制度健全性及执行情况。</w:t>
      </w:r>
    </w:p>
    <w:p w14:paraId="3D572AC8">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本单位制定了包括合同、差旅费、公务接待、会议费、培训费等管理办法实施细则，参照县财政和市气象局相关财务管理制度和业务流程，规范资金审批流程、收支业务、预算业务、政府采购工作和资产管理工作。</w:t>
      </w:r>
    </w:p>
    <w:p w14:paraId="5B28894A">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管理制度健全性及执行情况：本单位制定并严格执行相应的财政资金管理、财务管理、预算绩效管理制度和项目管理制度以及实施方案或计划，此项得5分。</w:t>
      </w:r>
    </w:p>
    <w:p w14:paraId="53990D3B">
      <w:pPr>
        <w:ind w:firstLine="924" w:firstLineChars="300"/>
        <w:rPr>
          <w:rFonts w:hint="eastAsia" w:ascii="仿宋_GB2312" w:hAnsi="仿宋_GB2312" w:eastAsia="仿宋_GB2312" w:cs="仿宋_GB2312"/>
          <w:bCs/>
          <w:szCs w:val="32"/>
          <w:lang w:bidi="ar"/>
        </w:rPr>
      </w:pPr>
      <w:bookmarkStart w:id="34" w:name="_Toc3319"/>
      <w:r>
        <w:rPr>
          <w:rFonts w:hint="eastAsia" w:ascii="仿宋_GB2312" w:hAnsi="仿宋_GB2312" w:eastAsia="仿宋_GB2312" w:cs="仿宋_GB2312"/>
          <w:szCs w:val="32"/>
          <w:lang w:bidi="ar"/>
        </w:rPr>
        <w:t>2.资金管理。</w:t>
      </w:r>
      <w:bookmarkEnd w:id="34"/>
    </w:p>
    <w:p w14:paraId="5C02CD4D">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包括资金下达合规性、部门预算资金支出完成率、结转结余率、政府采购执行情况、财务合规性、预决算信息公开性等资金管理情况。</w:t>
      </w:r>
    </w:p>
    <w:p w14:paraId="127C4717">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（1）资金下达合规性：本项指标不考核无转移支付及无下属单位的部门。本单位无转移支付及无下属单位的部门，调整至“部门预算资金支出完成率”指标。</w:t>
      </w:r>
    </w:p>
    <w:p w14:paraId="77BFF8FB">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（2）部门预算资金支出完成率：本指标得分=本指标满分分值×支出完成率，其中：支出完成率=部门（单位）年度实际支出（</w:t>
      </w:r>
      <w:r>
        <w:rPr>
          <w:rFonts w:hint="eastAsia" w:ascii="仿宋_GB2312" w:hAnsi="仿宋_GB2312" w:cs="仿宋_GB2312"/>
          <w:bCs/>
          <w:szCs w:val="32"/>
          <w:lang w:val="en-US" w:eastAsia="zh-CN" w:bidi="ar"/>
        </w:rPr>
        <w:t>214.03</w:t>
      </w:r>
      <w:r>
        <w:rPr>
          <w:rFonts w:hint="eastAsia" w:ascii="仿宋_GB2312" w:hAnsi="仿宋_GB2312" w:eastAsia="仿宋_GB2312" w:cs="仿宋_GB2312"/>
          <w:bCs/>
          <w:szCs w:val="32"/>
          <w:lang w:bidi="ar"/>
        </w:rPr>
        <w:t>万元）/财政下达预算数（</w:t>
      </w:r>
      <w:r>
        <w:rPr>
          <w:rFonts w:hint="eastAsia" w:ascii="仿宋_GB2312" w:hAnsi="仿宋_GB2312" w:cs="仿宋_GB2312"/>
          <w:bCs/>
          <w:szCs w:val="32"/>
          <w:lang w:val="en-US" w:eastAsia="zh-CN" w:bidi="ar"/>
        </w:rPr>
        <w:t>214.03</w:t>
      </w:r>
      <w:r>
        <w:rPr>
          <w:rFonts w:hint="eastAsia" w:ascii="仿宋_GB2312" w:hAnsi="仿宋_GB2312" w:eastAsia="仿宋_GB2312" w:cs="仿宋_GB2312"/>
          <w:bCs/>
          <w:szCs w:val="32"/>
          <w:lang w:bidi="ar"/>
        </w:rPr>
        <w:t>万元）×100%，本单位预算资金支出完成率等于100%，得5分，“资金下达合规性”指标得2分，合计得7分。</w:t>
      </w:r>
    </w:p>
    <w:p w14:paraId="4A885762">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（3）结转结余率：本单位202</w:t>
      </w:r>
      <w:r>
        <w:rPr>
          <w:rFonts w:hint="eastAsia" w:ascii="仿宋_GB2312" w:hAnsi="仿宋_GB2312" w:cs="仿宋_GB2312"/>
          <w:bCs/>
          <w:szCs w:val="32"/>
          <w:lang w:val="en-US" w:eastAsia="zh-CN" w:bidi="ar"/>
        </w:rPr>
        <w:t>5</w:t>
      </w:r>
      <w:r>
        <w:rPr>
          <w:rFonts w:hint="eastAsia" w:ascii="仿宋_GB2312" w:hAnsi="仿宋_GB2312" w:eastAsia="仿宋_GB2312" w:cs="仿宋_GB2312"/>
          <w:bCs/>
          <w:szCs w:val="32"/>
          <w:lang w:bidi="ar"/>
        </w:rPr>
        <w:t>年结转结余率为0，此项得2分。</w:t>
      </w:r>
    </w:p>
    <w:p w14:paraId="5B78B94D">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（4）政府采购执行情况：本单位202</w:t>
      </w:r>
      <w:r>
        <w:rPr>
          <w:rFonts w:hint="eastAsia" w:ascii="仿宋_GB2312" w:hAnsi="仿宋_GB2312" w:cs="仿宋_GB2312"/>
          <w:bCs/>
          <w:szCs w:val="32"/>
          <w:lang w:val="en-US" w:eastAsia="zh-CN" w:bidi="ar"/>
        </w:rPr>
        <w:t>5</w:t>
      </w:r>
      <w:r>
        <w:rPr>
          <w:rFonts w:hint="eastAsia" w:ascii="仿宋_GB2312" w:hAnsi="仿宋_GB2312" w:eastAsia="仿宋_GB2312" w:cs="仿宋_GB2312"/>
          <w:bCs/>
          <w:szCs w:val="32"/>
          <w:lang w:bidi="ar"/>
        </w:rPr>
        <w:t>年实际政府采购金额等于采购计划金额，此项得4分。</w:t>
      </w:r>
    </w:p>
    <w:p w14:paraId="28B24C4E">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（5）财务合规性：本单位预算执行规范，事项支出规范，会计核算规范，不存在支出依据不合规、虚列项目支出的情况；不存在截留、挤占、挪用项目资金情况，此项得4分。</w:t>
      </w:r>
    </w:p>
    <w:p w14:paraId="7C3448B1">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（6）预决算信息公开性：202</w:t>
      </w:r>
      <w:r>
        <w:rPr>
          <w:rFonts w:hint="eastAsia" w:ascii="仿宋_GB2312" w:hAnsi="仿宋_GB2312" w:cs="仿宋_GB2312"/>
          <w:bCs/>
          <w:szCs w:val="32"/>
          <w:lang w:val="en-US" w:eastAsia="zh-CN" w:bidi="ar"/>
        </w:rPr>
        <w:t>5</w:t>
      </w:r>
      <w:r>
        <w:rPr>
          <w:rFonts w:hint="eastAsia" w:ascii="仿宋_GB2312" w:hAnsi="仿宋_GB2312" w:eastAsia="仿宋_GB2312" w:cs="仿宋_GB2312"/>
          <w:bCs/>
          <w:szCs w:val="32"/>
          <w:lang w:bidi="ar"/>
        </w:rPr>
        <w:t>年度严格按照政府信息公开</w:t>
      </w:r>
    </w:p>
    <w:p w14:paraId="436B80B9">
      <w:pPr>
        <w:ind w:firstLine="616" w:firstLineChars="200"/>
        <w:rPr>
          <w:rFonts w:hint="eastAsia" w:ascii="仿宋_GB2312" w:hAnsi="仿宋_GB2312" w:eastAsia="仿宋_GB2312" w:cs="仿宋_GB2312"/>
          <w:bCs/>
          <w:szCs w:val="32"/>
          <w:lang w:bidi="ar"/>
        </w:rPr>
      </w:pPr>
      <w:r>
        <w:rPr>
          <w:rFonts w:hint="eastAsia" w:ascii="仿宋_GB2312" w:hAnsi="仿宋_GB2312" w:eastAsia="仿宋_GB2312" w:cs="仿宋_GB2312"/>
          <w:bCs/>
          <w:szCs w:val="32"/>
          <w:lang w:bidi="ar"/>
        </w:rPr>
        <w:t>有关规定公开相关预决算信息，用以反映部门（单位）预决算管理的公开透明情况，此项得3分。</w:t>
      </w:r>
    </w:p>
    <w:p w14:paraId="4522A97E">
      <w:pPr>
        <w:ind w:firstLine="924" w:firstLineChars="300"/>
        <w:rPr>
          <w:rFonts w:hint="eastAsia" w:ascii="仿宋_GB2312" w:hAnsi="仿宋_GB2312" w:eastAsia="仿宋_GB2312" w:cs="仿宋_GB2312"/>
          <w:szCs w:val="32"/>
          <w:lang w:bidi="ar"/>
        </w:rPr>
      </w:pPr>
      <w:bookmarkStart w:id="35" w:name="_Toc29827"/>
      <w:r>
        <w:rPr>
          <w:rFonts w:hint="eastAsia" w:ascii="仿宋_GB2312" w:hAnsi="仿宋_GB2312" w:eastAsia="仿宋_GB2312" w:cs="仿宋_GB2312"/>
          <w:szCs w:val="32"/>
          <w:lang w:bidi="ar"/>
        </w:rPr>
        <w:t>3.项目管理。</w:t>
      </w:r>
      <w:bookmarkEnd w:id="35"/>
    </w:p>
    <w:p w14:paraId="5FCB7EB5">
      <w:pPr>
        <w:ind w:firstLine="924" w:firstLineChars="3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包括项目准备、实施、监管等情况。</w:t>
      </w:r>
    </w:p>
    <w:p w14:paraId="4E554391">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（1）项目实施程序：本单位202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年度所有项目支出符合项目的设立及调整按规定履行报批程续，符合项目招投标、建设、验收等或方案实施严格执行相关制度规定，项目实施过程符合规定的，此项得5分。</w:t>
      </w:r>
    </w:p>
    <w:p w14:paraId="063CDE97">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（2）项目监管：本单位建立有效资金管理和绩效运行监控机制，且执行情况良好，并按规定对专项资金和项目支出的管理使用以及项目实施开展有效的监管的，此项得3分。</w:t>
      </w:r>
    </w:p>
    <w:p w14:paraId="444D15DB">
      <w:pPr>
        <w:ind w:firstLine="924" w:firstLineChars="300"/>
        <w:rPr>
          <w:rFonts w:hint="eastAsia" w:ascii="仿宋_GB2312" w:hAnsi="仿宋_GB2312" w:eastAsia="仿宋_GB2312" w:cs="仿宋_GB2312"/>
          <w:szCs w:val="32"/>
          <w:lang w:bidi="ar"/>
        </w:rPr>
      </w:pPr>
      <w:bookmarkStart w:id="36" w:name="_Toc3788"/>
      <w:r>
        <w:rPr>
          <w:rFonts w:hint="eastAsia" w:ascii="仿宋_GB2312" w:hAnsi="仿宋_GB2312" w:eastAsia="仿宋_GB2312" w:cs="仿宋_GB2312"/>
          <w:szCs w:val="32"/>
          <w:lang w:bidi="ar"/>
        </w:rPr>
        <w:t>4.资产管理。</w:t>
      </w:r>
      <w:bookmarkEnd w:id="36"/>
    </w:p>
    <w:p w14:paraId="1587936B">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资产管理合规性：本单位有行政事业性国有资产管理内部管理规程，按《行政单位国有资产管理暂行办法》《事业单位国有资产管理暂行办法》等制度要求执行有关规定；资产配置合理、保管完整，并按要求进行资产盘点的；有出租、出借、处置国有资产规范，不存在上缴处置收益和租金；在各类巡视、审计、监督检查工作中未发现资产管理存在问题，此项得5分。</w:t>
      </w:r>
    </w:p>
    <w:p w14:paraId="4B268E23">
      <w:pPr>
        <w:ind w:firstLine="616" w:firstLineChars="200"/>
        <w:rPr>
          <w:rFonts w:hint="eastAsia" w:ascii="仿宋_GB2312" w:hAnsi="仿宋_GB2312" w:eastAsia="仿宋_GB2312" w:cs="仿宋_GB2312"/>
          <w:szCs w:val="32"/>
          <w:highlight w:val="none"/>
          <w:lang w:eastAsia="zh-CN" w:bidi="ar"/>
        </w:rPr>
      </w:pPr>
      <w:r>
        <w:rPr>
          <w:rFonts w:hint="eastAsia" w:ascii="仿宋_GB2312" w:hAnsi="仿宋_GB2312" w:eastAsia="仿宋_GB2312" w:cs="仿宋_GB2312"/>
          <w:szCs w:val="32"/>
          <w:lang w:bidi="ar"/>
        </w:rPr>
        <w:t>（2）固定资产利用率：</w:t>
      </w:r>
      <w:r>
        <w:rPr>
          <w:rFonts w:hint="eastAsia" w:ascii="仿宋_GB2312" w:hAnsi="华文仿宋" w:cs="仿宋_GB2312"/>
          <w:szCs w:val="32"/>
        </w:rPr>
        <w:t>本单位固定资产利用率</w:t>
      </w:r>
      <w:r>
        <w:rPr>
          <w:rFonts w:hint="eastAsia" w:ascii="仿宋_GB2312" w:hAnsi="华文仿宋" w:cs="仿宋_GB2312"/>
          <w:szCs w:val="32"/>
          <w:lang w:val="en-US" w:eastAsia="zh-CN"/>
        </w:rPr>
        <w:t>大于90</w:t>
      </w:r>
      <w:r>
        <w:rPr>
          <w:rFonts w:hint="eastAsia" w:ascii="仿宋_GB2312" w:hAnsi="华文仿宋" w:cs="仿宋_GB2312"/>
          <w:szCs w:val="32"/>
        </w:rPr>
        <w:t>%,此项得2分。</w:t>
      </w:r>
    </w:p>
    <w:p w14:paraId="73BF5641">
      <w:pPr>
        <w:ind w:firstLine="616" w:firstLineChars="200"/>
        <w:rPr>
          <w:rFonts w:hint="eastAsia" w:ascii="仿宋_GB2312" w:hAnsi="仿宋_GB2312" w:eastAsia="仿宋_GB2312" w:cs="仿宋_GB2312"/>
          <w:b/>
        </w:rPr>
      </w:pPr>
      <w:bookmarkStart w:id="37" w:name="_Toc15901_WPSOffice_Level2"/>
      <w:bookmarkStart w:id="38" w:name="_Toc20443_WPSOffice_Level3"/>
      <w:bookmarkStart w:id="39" w:name="_Toc14900"/>
      <w:bookmarkStart w:id="40" w:name="_Toc26860"/>
      <w:r>
        <w:rPr>
          <w:rFonts w:hint="eastAsia" w:ascii="仿宋_GB2312" w:hAnsi="仿宋_GB2312" w:eastAsia="仿宋_GB2312" w:cs="仿宋_GB2312"/>
          <w:b/>
        </w:rPr>
        <w:t>（三）</w:t>
      </w:r>
      <w:bookmarkEnd w:id="37"/>
      <w:bookmarkEnd w:id="38"/>
      <w:bookmarkEnd w:id="39"/>
      <w:bookmarkEnd w:id="40"/>
      <w:r>
        <w:rPr>
          <w:rFonts w:hint="eastAsia" w:ascii="仿宋_GB2312" w:hAnsi="仿宋_GB2312" w:eastAsia="仿宋_GB2312" w:cs="仿宋_GB2312"/>
          <w:b/>
        </w:rPr>
        <w:t>预算使用效益。</w:t>
      </w:r>
    </w:p>
    <w:p w14:paraId="6DAA69FE">
      <w:pPr>
        <w:ind w:firstLine="924" w:firstLineChars="300"/>
        <w:rPr>
          <w:rFonts w:hint="eastAsia" w:ascii="仿宋_GB2312" w:hAnsi="仿宋_GB2312" w:eastAsia="仿宋_GB2312" w:cs="仿宋_GB2312"/>
          <w:szCs w:val="32"/>
          <w:lang w:bidi="ar"/>
        </w:rPr>
      </w:pPr>
      <w:bookmarkStart w:id="41" w:name="_Toc23861"/>
      <w:r>
        <w:rPr>
          <w:rFonts w:hint="eastAsia" w:ascii="仿宋_GB2312" w:hAnsi="仿宋_GB2312" w:eastAsia="仿宋_GB2312" w:cs="仿宋_GB2312"/>
          <w:szCs w:val="32"/>
          <w:lang w:bidi="ar"/>
        </w:rPr>
        <w:t>1.经济性。</w:t>
      </w:r>
      <w:bookmarkEnd w:id="41"/>
    </w:p>
    <w:p w14:paraId="24E3EE9C">
      <w:pPr>
        <w:ind w:firstLine="616" w:firstLineChars="200"/>
        <w:rPr>
          <w:rFonts w:hint="eastAsia" w:ascii="仿宋_GB2312" w:hAnsi="仿宋_GB2312" w:eastAsia="仿宋_GB2312" w:cs="仿宋_GB2312"/>
          <w:szCs w:val="32"/>
          <w:lang w:eastAsia="zh-CN" w:bidi="ar"/>
        </w:rPr>
      </w:pPr>
      <w:r>
        <w:rPr>
          <w:rFonts w:hint="eastAsia" w:ascii="仿宋_GB2312" w:hAnsi="仿宋_GB2312" w:eastAsia="仿宋_GB2312" w:cs="仿宋_GB2312"/>
          <w:szCs w:val="32"/>
          <w:lang w:bidi="ar"/>
        </w:rPr>
        <w:t>本单位202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年日常公用经费决算数</w:t>
      </w:r>
      <w:r>
        <w:rPr>
          <w:rFonts w:hint="eastAsia" w:ascii="仿宋_GB2312" w:hAnsi="仿宋_GB2312" w:cs="仿宋_GB2312"/>
          <w:szCs w:val="32"/>
          <w:lang w:val="en-US" w:eastAsia="zh-CN" w:bidi="ar"/>
        </w:rPr>
        <w:t>=</w:t>
      </w:r>
      <w:r>
        <w:rPr>
          <w:rFonts w:hint="eastAsia" w:ascii="仿宋_GB2312" w:hAnsi="仿宋_GB2312" w:eastAsia="仿宋_GB2312" w:cs="仿宋_GB2312"/>
          <w:szCs w:val="32"/>
          <w:lang w:bidi="ar"/>
        </w:rPr>
        <w:t>日常公用经费调整预算数</w:t>
      </w:r>
      <w:r>
        <w:rPr>
          <w:rFonts w:hint="eastAsia" w:ascii="仿宋_GB2312" w:hAnsi="仿宋_GB2312" w:cs="仿宋_GB2312"/>
          <w:szCs w:val="32"/>
          <w:lang w:eastAsia="zh-CN" w:bidi="ar"/>
        </w:rPr>
        <w:t>，</w:t>
      </w:r>
      <w:r>
        <w:rPr>
          <w:rFonts w:hint="eastAsia" w:ascii="仿宋_GB2312" w:hAnsi="仿宋_GB2312" w:eastAsia="仿宋_GB2312" w:cs="仿宋_GB2312"/>
          <w:szCs w:val="32"/>
          <w:lang w:bidi="ar"/>
        </w:rPr>
        <w:t>此项得</w:t>
      </w:r>
      <w:r>
        <w:rPr>
          <w:rFonts w:hint="eastAsia" w:ascii="仿宋_GB2312" w:hAnsi="仿宋_GB2312" w:cs="仿宋_GB2312"/>
          <w:szCs w:val="32"/>
          <w:lang w:val="en-US" w:eastAsia="zh-CN" w:bidi="ar"/>
        </w:rPr>
        <w:t>2.5</w:t>
      </w:r>
      <w:r>
        <w:rPr>
          <w:rFonts w:hint="eastAsia" w:ascii="仿宋_GB2312" w:hAnsi="仿宋_GB2312" w:eastAsia="仿宋_GB2312" w:cs="仿宋_GB2312"/>
          <w:szCs w:val="32"/>
          <w:lang w:bidi="ar"/>
        </w:rPr>
        <w:t>分。</w:t>
      </w:r>
    </w:p>
    <w:p w14:paraId="34F88B82">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本单位全年预算使用保证我局气象服务工作顺利进行，包括日常天气预报预警服务工作，积极推进气象灾害防御重点单位安全生产工作，积极配合开展干旱天气时期人工影响天气作业工作，积极防御气象灾害发生，协助保障生活生产用水和农业灌溉用水。</w:t>
      </w:r>
    </w:p>
    <w:p w14:paraId="5BEB7F17">
      <w:pPr>
        <w:numPr>
          <w:ilvl w:val="0"/>
          <w:numId w:val="2"/>
        </w:numPr>
        <w:ind w:firstLine="924" w:firstLineChars="300"/>
        <w:rPr>
          <w:rFonts w:hint="eastAsia" w:ascii="仿宋_GB2312" w:hAnsi="仿宋_GB2312" w:eastAsia="仿宋_GB2312" w:cs="仿宋_GB2312"/>
          <w:szCs w:val="32"/>
          <w:lang w:bidi="ar"/>
        </w:rPr>
      </w:pPr>
      <w:bookmarkStart w:id="42" w:name="_Toc19171"/>
      <w:r>
        <w:rPr>
          <w:rFonts w:hint="eastAsia" w:ascii="仿宋_GB2312" w:hAnsi="仿宋_GB2312" w:eastAsia="仿宋_GB2312" w:cs="仿宋_GB2312"/>
          <w:szCs w:val="32"/>
          <w:lang w:bidi="ar"/>
        </w:rPr>
        <w:t>效率性。</w:t>
      </w:r>
      <w:bookmarkEnd w:id="42"/>
    </w:p>
    <w:p w14:paraId="4A4260BA">
      <w:pPr>
        <w:numPr>
          <w:ilvl w:val="0"/>
          <w:numId w:val="0"/>
        </w:num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气象设备维修维护经费和设备购置费保障了我局气象设备日常维护和更新，做好恶劣天气前检修工作，提高天气预报预警等气象服务的准确性和效率。</w:t>
      </w:r>
    </w:p>
    <w:p w14:paraId="4549789A">
      <w:pPr>
        <w:numPr>
          <w:ilvl w:val="0"/>
          <w:numId w:val="0"/>
        </w:num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（1）项目完成及时性：本单位部门预算安排的项目均按计划时间完成，此项得3分。</w:t>
      </w:r>
    </w:p>
    <w:p w14:paraId="4BDFD298">
      <w:pPr>
        <w:numPr>
          <w:ilvl w:val="0"/>
          <w:numId w:val="0"/>
        </w:num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（2）绩效目标完成率：本单位整体绩效目标和项目绩效目标中各项目目标的完成率为100%，此项得3分。</w:t>
      </w:r>
    </w:p>
    <w:p w14:paraId="44FAFC96">
      <w:pPr>
        <w:numPr>
          <w:ilvl w:val="0"/>
          <w:numId w:val="0"/>
        </w:num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（3）重点任务完成情况：气象预报预警，气象科普宣传和防灾减灾，安全生产，人工影响天气作业等工作顺利完成，此项得4分。</w:t>
      </w:r>
    </w:p>
    <w:p w14:paraId="3E55FBA8">
      <w:pPr>
        <w:ind w:firstLine="924" w:firstLineChars="300"/>
        <w:rPr>
          <w:rFonts w:hint="eastAsia" w:ascii="仿宋_GB2312" w:hAnsi="仿宋_GB2312" w:eastAsia="仿宋_GB2312" w:cs="仿宋_GB2312"/>
          <w:szCs w:val="32"/>
          <w:lang w:bidi="ar"/>
        </w:rPr>
      </w:pPr>
      <w:bookmarkStart w:id="43" w:name="_Toc15830"/>
      <w:r>
        <w:rPr>
          <w:rFonts w:hint="eastAsia" w:ascii="仿宋_GB2312" w:hAnsi="仿宋_GB2312" w:eastAsia="仿宋_GB2312" w:cs="仿宋_GB2312"/>
          <w:szCs w:val="32"/>
          <w:lang w:bidi="ar"/>
        </w:rPr>
        <w:t>3.效果性。</w:t>
      </w:r>
      <w:bookmarkEnd w:id="43"/>
      <w:bookmarkStart w:id="44" w:name="_Toc18975"/>
    </w:p>
    <w:p w14:paraId="4C0659F0">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部门履职效益：202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度预算使用保障了我局人员经费支出，保障各气象工作顺利开展，保障人民生命财产安全，推动气象事业高质量发展。积极履行各项气象服务职责，完成各项工作，对阳西县经济发展、社会发展、生态环境带来良性影响，此项得20分，具体评价分析如下：</w:t>
      </w:r>
    </w:p>
    <w:p w14:paraId="0A478B89">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（1）经济效益：本单位202</w:t>
      </w:r>
      <w:r>
        <w:rPr>
          <w:rFonts w:hint="eastAsia" w:ascii="仿宋_GB2312" w:hAnsi="仿宋_GB2312" w:cs="仿宋_GB2312"/>
          <w:szCs w:val="32"/>
          <w:lang w:val="en-US" w:eastAsia="zh-CN" w:bidi="ar"/>
        </w:rPr>
        <w:t>5</w:t>
      </w:r>
      <w:r>
        <w:rPr>
          <w:rFonts w:hint="eastAsia" w:ascii="仿宋_GB2312" w:hAnsi="仿宋_GB2312" w:eastAsia="仿宋_GB2312" w:cs="仿宋_GB2312"/>
          <w:szCs w:val="32"/>
          <w:lang w:bidi="ar"/>
        </w:rPr>
        <w:t>年气象服务工作顺利进行，日常天气预报预警服务工作；积极推进气象灾害防御重点单位安全生产“双随机、一公开”监管并执法检查工作，监督企业加强安全生产工作；开展气象科普宣传活动，提升气象灾害风险预报预警和管理能力；安全生产工作，全面落实“党政同责、一岗双责”要求，制定了年度安全生产工作要点和检查计划，积极利用广东省气象安全在线监管平台对我县易燃易爆炸场所防雷定期检测开展在线监管工作；按需开展人工影响天气作业工作，协助保障生活生产用水和农业灌溉用水，从各方面减少恶劣天气过程的经济损失、保障人民生命财产安全，为促进阳西县经济发展出一份力。</w:t>
      </w:r>
    </w:p>
    <w:p w14:paraId="323F7A1B">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（2）社会效益：为公众生活出行，企业生产，农业灌溉，全县范围内举办大型活动提供气象服务，为社会生活的方方面面提供便利。</w:t>
      </w:r>
    </w:p>
    <w:p w14:paraId="54CE62CB">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（3）生态效益：重大恶劣天气预报预警，有利于提前做好绿植加固工作，人工影响天气作业有利于增加水库蓄水、缓解农业旱情，预防我县森林火情，有利于保护生态环境。</w:t>
      </w:r>
    </w:p>
    <w:p w14:paraId="6B82434B">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4）可持续效益：气象预报预警和人工影响天气作业等气象服务工作，可在一段时间内增加水库蓄水、缓解农业旱情预防我县森林火情；积极举办气象科普宣传活动，不断累积和提升公众气象防灾减灾知识；推进气象灾害防御重点单位安全生产“双随机、一公开”监管并开展执法检查工作，监督企业加强安全生产工作，可持续落实企业安全生产主体责任。</w:t>
      </w:r>
    </w:p>
    <w:p w14:paraId="6D3B7BF3">
      <w:pPr>
        <w:ind w:firstLine="924" w:firstLineChars="3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4.公平性。</w:t>
      </w:r>
    </w:p>
    <w:p w14:paraId="42BA5DBF">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预算使用效益公平性在内部而言为每一位气象工作者营造公平的工作环境，于外部而言确保气象预报预警等气象服务惠及全县、提高公众满意度。</w:t>
      </w:r>
    </w:p>
    <w:p w14:paraId="305D880C">
      <w:pPr>
        <w:ind w:firstLine="616" w:firstLineChars="200"/>
        <w:rPr>
          <w:rFonts w:hint="eastAsia" w:ascii="仿宋_GB2312" w:hAnsi="仿宋_GB2312" w:eastAsia="仿宋_GB2312" w:cs="仿宋_GB2312"/>
          <w:szCs w:val="32"/>
          <w:lang w:bidi="ar"/>
        </w:rPr>
      </w:pPr>
      <w:r>
        <w:rPr>
          <w:rFonts w:hint="eastAsia" w:ascii="仿宋_GB2312" w:hAnsi="仿宋_GB2312" w:eastAsia="仿宋_GB2312" w:cs="仿宋_GB2312"/>
          <w:szCs w:val="32"/>
          <w:lang w:bidi="ar"/>
        </w:rPr>
        <w:t>（1）群众信访办理情况：（微博、微信）互动区、网络问政，多渠道获取群众反馈意见并及时回复，回复率达100%，此项得2分。</w:t>
      </w:r>
    </w:p>
    <w:p w14:paraId="28C11E9E">
      <w:pPr>
        <w:ind w:firstLine="616" w:firstLineChars="200"/>
        <w:rPr>
          <w:rFonts w:hint="eastAsia" w:ascii="仿宋_GB2312" w:hAnsi="仿宋_GB2312" w:eastAsia="仿宋_GB2312" w:cs="仿宋_GB2312"/>
          <w:szCs w:val="32"/>
          <w:lang w:val="en-US" w:eastAsia="zh-CN" w:bidi="ar"/>
        </w:rPr>
      </w:pPr>
      <w:r>
        <w:rPr>
          <w:rFonts w:hint="eastAsia" w:ascii="仿宋_GB2312" w:hAnsi="仿宋_GB2312" w:eastAsia="仿宋_GB2312" w:cs="仿宋_GB2312"/>
          <w:szCs w:val="32"/>
          <w:lang w:bidi="ar"/>
        </w:rPr>
        <w:t>（2）公众或服务对象满意度：群众和其他相关企业和单位对本单位的气象服务非常满意，此项得3分</w:t>
      </w:r>
      <w:r>
        <w:rPr>
          <w:rFonts w:hint="eastAsia" w:ascii="仿宋_GB2312" w:hAnsi="仿宋_GB2312" w:cs="仿宋_GB2312"/>
          <w:szCs w:val="32"/>
          <w:lang w:eastAsia="zh-CN" w:bidi="ar"/>
        </w:rPr>
        <w:t>。</w:t>
      </w:r>
    </w:p>
    <w:p w14:paraId="1E49ED6A">
      <w:pPr>
        <w:ind w:firstLine="616" w:firstLineChars="200"/>
        <w:rPr>
          <w:rFonts w:hint="eastAsia" w:ascii="仿宋_GB2312" w:hAnsi="仿宋_GB2312" w:eastAsia="仿宋_GB2312" w:cs="仿宋_GB2312"/>
        </w:rPr>
      </w:pPr>
      <w:r>
        <w:rPr>
          <w:rFonts w:hint="eastAsia" w:ascii="仿宋_GB2312" w:hAnsi="仿宋_GB2312" w:eastAsia="仿宋_GB2312" w:cs="仿宋_GB2312"/>
        </w:rPr>
        <w:t>四、存在的问题、原因分析及改进措施</w:t>
      </w:r>
    </w:p>
    <w:p w14:paraId="2A78F3F8">
      <w:pPr>
        <w:ind w:firstLine="616" w:firstLineChars="200"/>
        <w:rPr>
          <w:rFonts w:hint="eastAsia" w:ascii="仿宋_GB2312" w:hAnsi="仿宋_GB2312" w:eastAsia="仿宋_GB2312" w:cs="仿宋_GB2312"/>
        </w:rPr>
      </w:pPr>
      <w:r>
        <w:rPr>
          <w:rFonts w:hint="eastAsia" w:ascii="仿宋_GB2312" w:hAnsi="仿宋_GB2312" w:eastAsia="仿宋_GB2312" w:cs="仿宋_GB2312"/>
        </w:rPr>
        <w:t>针对存在的问题分析原因，并提出完善预算编制、执行和提高预算使用效益的改进措施，特别是拟在下一步工作中调整完善的有关工作计划。</w:t>
      </w:r>
    </w:p>
    <w:p w14:paraId="526A4489">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eastAsia="仿宋_GB2312" w:cs="仿宋_GB2312"/>
        </w:rPr>
        <w:t>1</w:t>
      </w:r>
      <w:r>
        <w:rPr>
          <w:rFonts w:hint="eastAsia" w:ascii="仿宋_GB2312" w:hAnsi="仿宋_GB2312" w:cs="仿宋_GB2312"/>
          <w:lang w:eastAsia="zh-CN"/>
        </w:rPr>
        <w:t>）</w:t>
      </w:r>
      <w:r>
        <w:rPr>
          <w:rFonts w:hint="eastAsia" w:ascii="仿宋_GB2312" w:hAnsi="仿宋_GB2312" w:eastAsia="仿宋_GB2312" w:cs="仿宋_GB2312"/>
        </w:rPr>
        <w:t>对于绩效目标设定需要股室分解，汇总后制定整体目标。目标设定后如何科学设定考核评价标准，特别是对于不能量化的目标如何评价。</w:t>
      </w:r>
    </w:p>
    <w:p w14:paraId="7F363AE9">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2）</w:t>
      </w:r>
      <w:r>
        <w:rPr>
          <w:rFonts w:hint="eastAsia" w:ascii="仿宋_GB2312" w:hAnsi="仿宋_GB2312" w:eastAsia="仿宋_GB2312" w:cs="仿宋_GB2312"/>
        </w:rPr>
        <w:t>部门整体支出相比专项支出而言，社会效益较好，经济效益不明显。业务工作分项需更加清晰，不能很好的对比支出与成果，投入与产出效果，进而很难有针对性的发现问题，分析问题，提出解决方案。</w:t>
      </w:r>
    </w:p>
    <w:p w14:paraId="6BA16D5A">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3）</w:t>
      </w:r>
      <w:r>
        <w:rPr>
          <w:rFonts w:hint="eastAsia" w:ascii="仿宋_GB2312" w:hAnsi="仿宋_GB2312" w:eastAsia="仿宋_GB2312" w:cs="仿宋_GB2312"/>
        </w:rPr>
        <w:t>财务管理方面，会计核算还不够细致严谨，财务相关制度和内控制度还不够完善，各项资金阶段性使用情况不够精细，绩效评价基础数据不够精准。</w:t>
      </w:r>
    </w:p>
    <w:p w14:paraId="2EA4A477">
      <w:pPr>
        <w:ind w:firstLine="616" w:firstLineChars="200"/>
        <w:rPr>
          <w:rFonts w:hint="eastAsia" w:ascii="仿宋_GB2312" w:hAnsi="仿宋_GB2312" w:eastAsia="仿宋_GB2312" w:cs="仿宋_GB2312"/>
        </w:rPr>
      </w:pPr>
      <w:r>
        <w:rPr>
          <w:rFonts w:hint="eastAsia" w:ascii="仿宋_GB2312" w:hAnsi="仿宋_GB2312" w:eastAsia="仿宋_GB2312" w:cs="仿宋_GB2312"/>
        </w:rPr>
        <w:t>改进措施和建议</w:t>
      </w:r>
    </w:p>
    <w:p w14:paraId="54E45E70">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1）</w:t>
      </w:r>
      <w:r>
        <w:rPr>
          <w:rFonts w:hint="eastAsia" w:ascii="仿宋_GB2312" w:hAnsi="仿宋_GB2312" w:eastAsia="仿宋_GB2312" w:cs="仿宋_GB2312"/>
        </w:rPr>
        <w:t>学习如何科学合理制定绩效目标及考核体系，充分发挥绩效工作效用。</w:t>
      </w:r>
    </w:p>
    <w:p w14:paraId="36043730">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2）</w:t>
      </w:r>
      <w:r>
        <w:rPr>
          <w:rFonts w:hint="eastAsia" w:ascii="仿宋_GB2312" w:hAnsi="仿宋_GB2312" w:eastAsia="仿宋_GB2312" w:cs="仿宋_GB2312"/>
        </w:rPr>
        <w:t>对于能细分、归总的业务工作，应分类管理，以便更好的进行绩效评价，发现不足，提出改进。</w:t>
      </w:r>
    </w:p>
    <w:p w14:paraId="47A0ABB1">
      <w:pPr>
        <w:ind w:firstLine="616" w:firstLineChars="200"/>
        <w:rPr>
          <w:rFonts w:hint="eastAsia" w:ascii="仿宋_GB2312" w:hAnsi="仿宋_GB2312" w:eastAsia="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3）</w:t>
      </w:r>
      <w:r>
        <w:rPr>
          <w:rFonts w:hint="eastAsia" w:ascii="仿宋_GB2312" w:hAnsi="仿宋_GB2312" w:eastAsia="仿宋_GB2312" w:cs="仿宋_GB2312"/>
        </w:rPr>
        <w:t>财务上，会计核算更加详细，应阶段性整理各项资金收支情况，完善制度，为本单位各项工作的开展、总结、评估提供有效数据资料支撑，为各项业务工作更好的开展提供帮助。</w:t>
      </w:r>
    </w:p>
    <w:p w14:paraId="762A75E8">
      <w:pPr>
        <w:ind w:firstLine="616" w:firstLineChars="200"/>
        <w:rPr>
          <w:rFonts w:hint="eastAsia" w:ascii="仿宋_GB2312" w:hAnsi="仿宋_GB2312" w:eastAsia="仿宋_GB2312" w:cs="仿宋_GB2312"/>
        </w:rPr>
      </w:pPr>
      <w:r>
        <w:rPr>
          <w:rFonts w:hint="eastAsia" w:ascii="仿宋_GB2312" w:hAnsi="仿宋_GB2312" w:eastAsia="仿宋_GB2312" w:cs="仿宋_GB2312"/>
        </w:rPr>
        <w:t>五、其他需要说明的情况</w:t>
      </w:r>
    </w:p>
    <w:p w14:paraId="22F50670">
      <w:pPr>
        <w:ind w:firstLine="616" w:firstLineChars="200"/>
        <w:rPr>
          <w:rFonts w:hint="eastAsia" w:ascii="仿宋_GB2312" w:hAnsi="仿宋_GB2312" w:eastAsia="仿宋_GB2312" w:cs="仿宋_GB2312"/>
        </w:rPr>
      </w:pPr>
      <w:r>
        <w:rPr>
          <w:rFonts w:hint="eastAsia" w:ascii="仿宋_GB2312" w:hAnsi="仿宋_GB2312" w:eastAsia="仿宋_GB2312" w:cs="仿宋_GB2312"/>
        </w:rPr>
        <w:t>包括制度管理、项目实施管理等方面好的经验做法，碰到的实际困难等其他需说明的内容。</w:t>
      </w:r>
    </w:p>
    <w:p w14:paraId="2BAE8709">
      <w:pPr>
        <w:ind w:firstLine="616" w:firstLineChars="200"/>
        <w:rPr>
          <w:rFonts w:hint="eastAsia" w:ascii="仿宋_GB2312" w:hAnsi="仿宋_GB2312" w:eastAsia="仿宋_GB2312" w:cs="仿宋_GB2312"/>
          <w:lang w:val="en-US" w:eastAsia="zh-CN"/>
        </w:rPr>
      </w:pPr>
      <w:r>
        <w:rPr>
          <w:rFonts w:hint="eastAsia" w:ascii="仿宋_GB2312" w:hAnsi="仿宋_GB2312" w:cs="仿宋_GB2312"/>
          <w:lang w:val="en-US" w:eastAsia="zh-CN"/>
        </w:rPr>
        <w:t>无。</w:t>
      </w:r>
    </w:p>
    <w:bookmarkEnd w:id="44"/>
    <w:p w14:paraId="78AA3735">
      <w:pPr>
        <w:rPr>
          <w:rFonts w:hint="eastAsia" w:ascii="仿宋_GB2312" w:hAnsi="仿宋_GB2312" w:eastAsia="仿宋_GB2312" w:cs="仿宋_GB2312"/>
        </w:rPr>
      </w:pPr>
    </w:p>
    <w:sectPr>
      <w:headerReference r:id="rId3" w:type="default"/>
      <w:pgSz w:w="11906" w:h="16838"/>
      <w:pgMar w:top="1701" w:right="1588" w:bottom="1644" w:left="1701" w:header="851" w:footer="992" w:gutter="0"/>
      <w:cols w:space="425" w:num="1"/>
      <w:docGrid w:type="linesAndChars" w:linePitch="562" w:charSpace="-25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AA1AD">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F2EC62"/>
    <w:multiLevelType w:val="singleLevel"/>
    <w:tmpl w:val="CEF2EC62"/>
    <w:lvl w:ilvl="0" w:tentative="0">
      <w:start w:val="2"/>
      <w:numFmt w:val="decimal"/>
      <w:lvlText w:val="%1."/>
      <w:lvlJc w:val="left"/>
      <w:pPr>
        <w:tabs>
          <w:tab w:val="left" w:pos="312"/>
        </w:tabs>
      </w:pPr>
    </w:lvl>
  </w:abstractNum>
  <w:abstractNum w:abstractNumId="1">
    <w:nsid w:val="3F7F2A57"/>
    <w:multiLevelType w:val="singleLevel"/>
    <w:tmpl w:val="3F7F2A57"/>
    <w:lvl w:ilvl="0" w:tentative="0">
      <w:start w:val="1"/>
      <w:numFmt w:val="decimal"/>
      <w:suff w:val="nothing"/>
      <w:lvlText w:val="（%1）"/>
      <w:lvlJc w:val="left"/>
      <w:rPr>
        <w:rFonts w:hint="default"/>
        <w:b/>
        <w:bC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54"/>
  <w:drawingGridVerticalSpacing w:val="28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A04CD"/>
    <w:rsid w:val="00007A67"/>
    <w:rsid w:val="00022542"/>
    <w:rsid w:val="000258AA"/>
    <w:rsid w:val="000D1E99"/>
    <w:rsid w:val="0012286D"/>
    <w:rsid w:val="00132593"/>
    <w:rsid w:val="00145B76"/>
    <w:rsid w:val="00170E39"/>
    <w:rsid w:val="001834A3"/>
    <w:rsid w:val="00195019"/>
    <w:rsid w:val="001B111B"/>
    <w:rsid w:val="001B4856"/>
    <w:rsid w:val="001D33F5"/>
    <w:rsid w:val="001E1FDF"/>
    <w:rsid w:val="001F096B"/>
    <w:rsid w:val="0022603D"/>
    <w:rsid w:val="00235EDE"/>
    <w:rsid w:val="002A7F8F"/>
    <w:rsid w:val="002C4D92"/>
    <w:rsid w:val="002D7EDF"/>
    <w:rsid w:val="002E516E"/>
    <w:rsid w:val="002E5CB6"/>
    <w:rsid w:val="002F1311"/>
    <w:rsid w:val="00314DC0"/>
    <w:rsid w:val="00331AA1"/>
    <w:rsid w:val="00347820"/>
    <w:rsid w:val="00347914"/>
    <w:rsid w:val="00395359"/>
    <w:rsid w:val="003B7E05"/>
    <w:rsid w:val="004078CE"/>
    <w:rsid w:val="00410146"/>
    <w:rsid w:val="00413B2F"/>
    <w:rsid w:val="00421D22"/>
    <w:rsid w:val="0043014F"/>
    <w:rsid w:val="004531CF"/>
    <w:rsid w:val="004749F5"/>
    <w:rsid w:val="00486009"/>
    <w:rsid w:val="004B2E77"/>
    <w:rsid w:val="004D35D6"/>
    <w:rsid w:val="004D736E"/>
    <w:rsid w:val="00510F6B"/>
    <w:rsid w:val="00537F7E"/>
    <w:rsid w:val="00566EB1"/>
    <w:rsid w:val="00574D73"/>
    <w:rsid w:val="005B06B5"/>
    <w:rsid w:val="005B07DD"/>
    <w:rsid w:val="005B6EB7"/>
    <w:rsid w:val="005B7DAB"/>
    <w:rsid w:val="005C28C3"/>
    <w:rsid w:val="005D4C3F"/>
    <w:rsid w:val="005E6FE2"/>
    <w:rsid w:val="00606F30"/>
    <w:rsid w:val="00620700"/>
    <w:rsid w:val="0062264E"/>
    <w:rsid w:val="006265B7"/>
    <w:rsid w:val="006317C3"/>
    <w:rsid w:val="00665117"/>
    <w:rsid w:val="00675A9A"/>
    <w:rsid w:val="006B0F8D"/>
    <w:rsid w:val="006D4795"/>
    <w:rsid w:val="0074594E"/>
    <w:rsid w:val="00754811"/>
    <w:rsid w:val="007705F1"/>
    <w:rsid w:val="00781B6C"/>
    <w:rsid w:val="0078264B"/>
    <w:rsid w:val="007A7399"/>
    <w:rsid w:val="00804DCB"/>
    <w:rsid w:val="00816A2A"/>
    <w:rsid w:val="008428B2"/>
    <w:rsid w:val="0084340E"/>
    <w:rsid w:val="0086235A"/>
    <w:rsid w:val="00876A57"/>
    <w:rsid w:val="00880F2C"/>
    <w:rsid w:val="008B525A"/>
    <w:rsid w:val="008C30AE"/>
    <w:rsid w:val="008E75C3"/>
    <w:rsid w:val="0090022C"/>
    <w:rsid w:val="00982492"/>
    <w:rsid w:val="00A66BD5"/>
    <w:rsid w:val="00A813BE"/>
    <w:rsid w:val="00A8644D"/>
    <w:rsid w:val="00A91495"/>
    <w:rsid w:val="00AC5B70"/>
    <w:rsid w:val="00AF7207"/>
    <w:rsid w:val="00B05F42"/>
    <w:rsid w:val="00B12D08"/>
    <w:rsid w:val="00B32B1B"/>
    <w:rsid w:val="00B55F8F"/>
    <w:rsid w:val="00BA5204"/>
    <w:rsid w:val="00BF3EFE"/>
    <w:rsid w:val="00BF4502"/>
    <w:rsid w:val="00C005AF"/>
    <w:rsid w:val="00C10A76"/>
    <w:rsid w:val="00C112EA"/>
    <w:rsid w:val="00CD5F4B"/>
    <w:rsid w:val="00D24C0F"/>
    <w:rsid w:val="00D41CC7"/>
    <w:rsid w:val="00D45282"/>
    <w:rsid w:val="00D46575"/>
    <w:rsid w:val="00D67E60"/>
    <w:rsid w:val="00D73EB4"/>
    <w:rsid w:val="00D74AD4"/>
    <w:rsid w:val="00D82FAA"/>
    <w:rsid w:val="00DA04CD"/>
    <w:rsid w:val="00DA43A7"/>
    <w:rsid w:val="00DA5CEB"/>
    <w:rsid w:val="00DC37C4"/>
    <w:rsid w:val="00DC4199"/>
    <w:rsid w:val="00DE17BB"/>
    <w:rsid w:val="00DF7A41"/>
    <w:rsid w:val="00E03302"/>
    <w:rsid w:val="00E21FA4"/>
    <w:rsid w:val="00E23CAC"/>
    <w:rsid w:val="00E3272E"/>
    <w:rsid w:val="00E71A39"/>
    <w:rsid w:val="00E82D5B"/>
    <w:rsid w:val="00EA4E69"/>
    <w:rsid w:val="00EC4520"/>
    <w:rsid w:val="00ED3E32"/>
    <w:rsid w:val="00ED5CA9"/>
    <w:rsid w:val="00F04107"/>
    <w:rsid w:val="00F14CD1"/>
    <w:rsid w:val="00F43167"/>
    <w:rsid w:val="00F43EA4"/>
    <w:rsid w:val="00F57915"/>
    <w:rsid w:val="00FF40BF"/>
    <w:rsid w:val="039B157F"/>
    <w:rsid w:val="04640FAD"/>
    <w:rsid w:val="05950139"/>
    <w:rsid w:val="087150EF"/>
    <w:rsid w:val="107F4308"/>
    <w:rsid w:val="11E50C4C"/>
    <w:rsid w:val="14873384"/>
    <w:rsid w:val="161F3B88"/>
    <w:rsid w:val="17804ACD"/>
    <w:rsid w:val="1BB1179E"/>
    <w:rsid w:val="31863CF8"/>
    <w:rsid w:val="3BE86EF1"/>
    <w:rsid w:val="400C006C"/>
    <w:rsid w:val="42760360"/>
    <w:rsid w:val="43C95804"/>
    <w:rsid w:val="4AEE06AD"/>
    <w:rsid w:val="4C1B7A9A"/>
    <w:rsid w:val="514E7348"/>
    <w:rsid w:val="52F924B9"/>
    <w:rsid w:val="550A054A"/>
    <w:rsid w:val="56175875"/>
    <w:rsid w:val="569E22F0"/>
    <w:rsid w:val="57CA2524"/>
    <w:rsid w:val="5F1D6040"/>
    <w:rsid w:val="60700A8D"/>
    <w:rsid w:val="62EC717B"/>
    <w:rsid w:val="68681920"/>
    <w:rsid w:val="6A656D12"/>
    <w:rsid w:val="6AB35823"/>
    <w:rsid w:val="71EB5E8D"/>
    <w:rsid w:val="75937639"/>
    <w:rsid w:val="78AC6CD8"/>
    <w:rsid w:val="7D1D0D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Body Text First Indent 2"/>
    <w:qFormat/>
    <w:uiPriority w:val="99"/>
    <w:pPr>
      <w:widowControl w:val="0"/>
      <w:spacing w:after="120"/>
      <w:ind w:left="200" w:leftChars="200" w:firstLine="420" w:firstLineChars="200"/>
      <w:jc w:val="both"/>
    </w:pPr>
    <w:rPr>
      <w:rFonts w:ascii="Calibri" w:hAnsi="Calibri" w:eastAsia="宋体" w:cs="Times New Roman"/>
      <w:kern w:val="2"/>
      <w:sz w:val="21"/>
      <w:szCs w:val="24"/>
      <w:lang w:val="en-US" w:eastAsia="zh-CN" w:bidi="ar-SA"/>
    </w:rPr>
  </w:style>
  <w:style w:type="paragraph" w:customStyle="1" w:styleId="8">
    <w:name w:val="_Style 5"/>
    <w:qFormat/>
    <w:uiPriority w:val="0"/>
    <w:pPr>
      <w:widowControl w:val="0"/>
      <w:ind w:firstLine="200" w:firstLineChars="200"/>
      <w:jc w:val="both"/>
    </w:pPr>
    <w:rPr>
      <w:rFonts w:ascii="Calibri" w:hAnsi="Calibri" w:eastAsia="宋体" w:cs="Times New Roman"/>
      <w:kern w:val="2"/>
      <w:sz w:val="24"/>
      <w:szCs w:val="22"/>
      <w:lang w:val="en-US" w:eastAsia="zh-CN" w:bidi="ar-SA"/>
    </w:rPr>
  </w:style>
  <w:style w:type="paragraph" w:customStyle="1" w:styleId="9">
    <w:name w:val="正文首行缩进 21"/>
    <w:basedOn w:val="1"/>
    <w:qFormat/>
    <w:uiPriority w:val="0"/>
    <w:pPr>
      <w:spacing w:line="360" w:lineRule="auto"/>
      <w:ind w:firstLine="420" w:firstLineChars="200"/>
      <w:textAlignment w:val="baseline"/>
    </w:pPr>
    <w:rPr>
      <w:rFonts w:eastAsia="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8612</Words>
  <Characters>8830</Characters>
  <Lines>6</Lines>
  <Paragraphs>1</Paragraphs>
  <TotalTime>7</TotalTime>
  <ScaleCrop>false</ScaleCrop>
  <LinksUpToDate>false</LinksUpToDate>
  <CharactersWithSpaces>8897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2020-07-14T08:14:00Z</dcterms:created>
  <dc:creator>苏锦雯</dc:creator>
  <cp:lastModifiedBy>bell</cp:lastModifiedBy>
  <cp:lastPrinted>2020-07-14T08:13:00Z</cp:lastPrinted>
  <dcterms:modified xsi:type="dcterms:W3CDTF">2026-04-27T00:54:53Z</dcterms:modified>
  <dc:title>附件2-1.市级财政资金绩效自评报告</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B15D5FE04C214C6DB5D9D8AC438660BF</vt:lpwstr>
  </property>
  <property fmtid="{D5CDD505-2E9C-101B-9397-08002B2CF9AE}" pid="4" name="KSOTemplateDocerSaveRecord">
    <vt:lpwstr>eyJoZGlkIjoiNjNiNWQ2YjBmNTczZWVjZTgxZTA3ODdmZjU3YTY3ZDIiLCJ1c2VySWQiOiIzMDE0MzI0MTAifQ==</vt:lpwstr>
  </property>
</Properties>
</file>