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73F9EA">
      <w:pPr>
        <w:rPr>
          <w:rFonts w:ascii="宋体" w:hAnsi="宋体" w:eastAsia="宋体"/>
          <w:sz w:val="28"/>
          <w:szCs w:val="28"/>
        </w:rPr>
      </w:pPr>
      <w:r>
        <w:rPr>
          <w:rFonts w:hint="eastAsia" w:ascii="宋体" w:hAnsi="宋体" w:eastAsia="宋体"/>
          <w:sz w:val="28"/>
          <w:szCs w:val="28"/>
        </w:rPr>
        <w:t>附件2-3</w:t>
      </w:r>
    </w:p>
    <w:p w14:paraId="77CDA548"/>
    <w:p w14:paraId="69A01226">
      <w:pPr>
        <w:spacing w:line="360" w:lineRule="auto"/>
        <w:jc w:val="center"/>
        <w:rPr>
          <w:rFonts w:ascii="方正小标宋简体" w:eastAsia="方正小标宋简体"/>
          <w:sz w:val="44"/>
          <w:szCs w:val="44"/>
        </w:rPr>
      </w:pPr>
      <w:bookmarkStart w:id="29" w:name="_GoBack"/>
      <w:r>
        <w:rPr>
          <w:rFonts w:hint="eastAsia" w:ascii="方正小标宋简体" w:eastAsia="方正小标宋简体"/>
          <w:sz w:val="44"/>
          <w:szCs w:val="44"/>
        </w:rPr>
        <w:t>县级部门整体支出绩效自评报告</w:t>
      </w:r>
    </w:p>
    <w:bookmarkEnd w:id="29"/>
    <w:p w14:paraId="757A1C04"/>
    <w:p w14:paraId="09F0F036"/>
    <w:p w14:paraId="31E64D11"/>
    <w:p w14:paraId="1C73B848"/>
    <w:p w14:paraId="47865DC5"/>
    <w:p w14:paraId="22ACD8D5">
      <w:pPr>
        <w:ind w:firstLine="1894" w:firstLineChars="592"/>
        <w:rPr>
          <w:rFonts w:hint="default" w:eastAsia="仿宋_GB2312"/>
          <w:lang w:val="en-US" w:eastAsia="zh-CN"/>
        </w:rPr>
      </w:pPr>
      <w:r>
        <w:rPr>
          <w:rFonts w:hint="eastAsia"/>
        </w:rPr>
        <w:t>部门名称（公章）：</w:t>
      </w:r>
      <w:r>
        <w:rPr>
          <w:rFonts w:hint="eastAsia"/>
          <w:lang w:val="en-US" w:eastAsia="zh-CN"/>
        </w:rPr>
        <w:t>阳西县文化广电旅游体育局</w:t>
      </w:r>
    </w:p>
    <w:p w14:paraId="2EC112F9">
      <w:pPr>
        <w:ind w:firstLine="1894" w:firstLineChars="592"/>
        <w:rPr>
          <w:rFonts w:hint="eastAsia" w:eastAsia="仿宋_GB2312"/>
          <w:lang w:val="en-US" w:eastAsia="zh-CN"/>
        </w:rPr>
      </w:pPr>
      <w:r>
        <w:rPr>
          <w:rFonts w:hint="eastAsia"/>
        </w:rPr>
        <w:t>填报人姓名：</w:t>
      </w:r>
      <w:r>
        <w:rPr>
          <w:rFonts w:hint="eastAsia"/>
          <w:lang w:val="en-US" w:eastAsia="zh-CN"/>
        </w:rPr>
        <w:t>欧绮婷</w:t>
      </w:r>
    </w:p>
    <w:p w14:paraId="53EDD34A">
      <w:pPr>
        <w:ind w:firstLine="1894" w:firstLineChars="592"/>
        <w:rPr>
          <w:rFonts w:hint="default" w:eastAsia="仿宋_GB2312"/>
          <w:lang w:val="en-US" w:eastAsia="zh-CN"/>
        </w:rPr>
      </w:pPr>
      <w:r>
        <w:rPr>
          <w:rFonts w:hint="eastAsia"/>
        </w:rPr>
        <w:t>联系电话：</w:t>
      </w:r>
      <w:r>
        <w:rPr>
          <w:rFonts w:hint="eastAsia"/>
          <w:lang w:val="en-US" w:eastAsia="zh-CN"/>
        </w:rPr>
        <w:t>0662-5598922</w:t>
      </w:r>
    </w:p>
    <w:p w14:paraId="4E4D7040">
      <w:pPr>
        <w:ind w:firstLine="1894" w:firstLineChars="592"/>
        <w:rPr>
          <w:rFonts w:hint="default" w:eastAsia="仿宋_GB2312"/>
          <w:lang w:val="en-US" w:eastAsia="zh-CN"/>
        </w:rPr>
      </w:pPr>
      <w:r>
        <w:rPr>
          <w:rFonts w:hint="eastAsia"/>
        </w:rPr>
        <w:t>填报日期：</w:t>
      </w:r>
      <w:r>
        <w:rPr>
          <w:rFonts w:hint="eastAsia"/>
          <w:lang w:val="en-US" w:eastAsia="zh-CN"/>
        </w:rPr>
        <w:t>2026年4月27日</w:t>
      </w:r>
    </w:p>
    <w:p w14:paraId="0A24CC6F"/>
    <w:p w14:paraId="1D9246EE"/>
    <w:p w14:paraId="7F3D307D"/>
    <w:p w14:paraId="5C0C7286"/>
    <w:p w14:paraId="3122A524">
      <w:r>
        <w:rPr>
          <w:rFonts w:hint="eastAsia"/>
        </w:rPr>
        <w:t xml:space="preserve">                     阳西县财政局制</w:t>
      </w:r>
    </w:p>
    <w:p w14:paraId="0C8AC23E">
      <w:r>
        <w:rPr>
          <w:rFonts w:hint="eastAsia"/>
        </w:rPr>
        <w:t xml:space="preserve">                         202</w:t>
      </w:r>
      <w:r>
        <w:rPr>
          <w:rFonts w:hint="eastAsia"/>
          <w:lang w:val="en-US" w:eastAsia="zh-CN"/>
        </w:rPr>
        <w:t>6</w:t>
      </w:r>
      <w:r>
        <w:rPr>
          <w:rFonts w:hint="eastAsia"/>
        </w:rPr>
        <w:t>年</w:t>
      </w:r>
    </w:p>
    <w:p w14:paraId="6FB3903C"/>
    <w:p w14:paraId="5996AB07"/>
    <w:p w14:paraId="68F73624">
      <w:pPr>
        <w:pStyle w:val="8"/>
        <w:ind w:firstLine="640"/>
        <w:rPr>
          <w:rFonts w:ascii="仿宋_GB2312" w:hAnsi="Times New Roman" w:eastAsia="仿宋_GB2312"/>
          <w:sz w:val="32"/>
          <w:szCs w:val="32"/>
        </w:rPr>
        <w:sectPr>
          <w:pgSz w:w="11906" w:h="16838"/>
          <w:pgMar w:top="2041" w:right="1417" w:bottom="1417" w:left="1531" w:header="851" w:footer="992" w:gutter="0"/>
          <w:pgNumType w:fmt="numberInDash" w:start="1"/>
          <w:cols w:space="720" w:num="1"/>
          <w:docGrid w:type="lines" w:linePitch="312" w:charSpace="0"/>
        </w:sectPr>
      </w:pPr>
    </w:p>
    <w:p w14:paraId="22ED806D">
      <w:pPr>
        <w:ind w:firstLine="616" w:firstLineChars="200"/>
        <w:rPr>
          <w:rFonts w:ascii="方正小标宋简体" w:eastAsia="方正小标宋简体"/>
        </w:rPr>
      </w:pPr>
      <w:bookmarkStart w:id="0" w:name="_Toc28838"/>
      <w:bookmarkStart w:id="1" w:name="_Toc8021_WPSOffice_Level2"/>
      <w:r>
        <w:rPr>
          <w:rFonts w:hint="eastAsia" w:ascii="方正小标宋简体" w:eastAsia="方正小标宋简体"/>
        </w:rPr>
        <w:t>一、部门基本情况</w:t>
      </w:r>
      <w:bookmarkEnd w:id="0"/>
    </w:p>
    <w:bookmarkEnd w:id="1"/>
    <w:p w14:paraId="0B7BA0D1">
      <w:pPr>
        <w:ind w:firstLine="616" w:firstLineChars="200"/>
        <w:rPr>
          <w:b/>
        </w:rPr>
      </w:pPr>
      <w:bookmarkStart w:id="2" w:name="_Toc5988_WPSOffice_Level3"/>
      <w:bookmarkStart w:id="3" w:name="_Toc23683"/>
      <w:bookmarkStart w:id="4" w:name="_Toc30104"/>
      <w:r>
        <w:rPr>
          <w:rFonts w:hint="eastAsia"/>
          <w:b/>
        </w:rPr>
        <w:t>（一）部门整体概况</w:t>
      </w:r>
      <w:bookmarkEnd w:id="2"/>
      <w:bookmarkEnd w:id="3"/>
      <w:bookmarkEnd w:id="4"/>
      <w:r>
        <w:rPr>
          <w:rFonts w:hint="eastAsia"/>
          <w:b/>
        </w:rPr>
        <w:t>。</w:t>
      </w:r>
    </w:p>
    <w:p w14:paraId="6F9CA87E">
      <w:pPr>
        <w:spacing w:line="560" w:lineRule="exact"/>
        <w:ind w:firstLine="616" w:firstLineChars="200"/>
      </w:pPr>
      <w:bookmarkStart w:id="5" w:name="_Toc2082"/>
      <w:bookmarkStart w:id="6" w:name="_Toc14936_WPSOffice_Level2"/>
      <w:bookmarkStart w:id="7" w:name="_Toc25996"/>
      <w:r>
        <w:rPr>
          <w:rFonts w:hint="eastAsia"/>
        </w:rPr>
        <w:t>1.主要职责</w:t>
      </w:r>
    </w:p>
    <w:p w14:paraId="7D8FF81F">
      <w:pPr>
        <w:spacing w:line="560" w:lineRule="exact"/>
        <w:ind w:firstLine="616" w:firstLineChars="200"/>
      </w:pPr>
      <w:r>
        <w:rPr>
          <w:rFonts w:hint="eastAsia"/>
        </w:rPr>
        <w:t>（1）</w:t>
      </w:r>
      <w:r>
        <w:t>贯彻执行党的文化、广播电视、旅游及体育工作方针政策；拟订文化、广播电视、旅游及体育方面的政策措施；研究拟订全县文化、广播电视、旅游、体育行业的发展规划并组织实施。</w:t>
      </w:r>
      <w:r>
        <w:rPr>
          <w:rFonts w:hint="eastAsia"/>
        </w:rPr>
        <w:br w:type="textWrapping"/>
      </w:r>
      <w:r>
        <w:t xml:space="preserve">    </w:t>
      </w:r>
      <w:r>
        <w:rPr>
          <w:rFonts w:hint="eastAsia"/>
        </w:rPr>
        <w:t>（2）</w:t>
      </w:r>
      <w:r>
        <w:t>负责统筹推进全县公共文化服务体系和旅游公共服务建设，组织、协调和指导县重点和基层文化广电旅游体育设施建设，管理全县性重大文化体育活动，实施文化惠民工程，开展相关公共服务。</w:t>
      </w:r>
      <w:r>
        <w:rPr>
          <w:rFonts w:hint="eastAsia"/>
        </w:rPr>
        <w:br w:type="textWrapping"/>
      </w:r>
      <w:r>
        <w:t xml:space="preserve">    </w:t>
      </w:r>
      <w:r>
        <w:rPr>
          <w:rFonts w:hint="eastAsia"/>
        </w:rPr>
        <w:t>（3）</w:t>
      </w:r>
      <w:r>
        <w:t>负责管理文化艺术事业，指导艺术创作与生产，扶持体现社会主义核心价值观、具有导向性代表性示范性的文艺作品，推动各门类艺术、各艺术品种的发展。</w:t>
      </w:r>
      <w:r>
        <w:rPr>
          <w:rFonts w:hint="eastAsia"/>
        </w:rPr>
        <w:br w:type="textWrapping"/>
      </w:r>
      <w:r>
        <w:t xml:space="preserve">    </w:t>
      </w:r>
      <w:r>
        <w:rPr>
          <w:rFonts w:hint="eastAsia"/>
        </w:rPr>
        <w:t>（4）</w:t>
      </w:r>
      <w:r>
        <w:t>负责管理、指导全县文物和博物馆事业，推进物质文化遗产保护、利用；组织实施非物质文化遗产保护、传承、普及、弘扬和振兴工作；协同住房城乡建设部门开展历史文化名城（镇、村）保护的监督指导工作。</w:t>
      </w:r>
      <w:r>
        <w:rPr>
          <w:rFonts w:hint="eastAsia"/>
        </w:rPr>
        <w:br w:type="textWrapping"/>
      </w:r>
      <w:r>
        <w:t xml:space="preserve">    </w:t>
      </w:r>
      <w:r>
        <w:rPr>
          <w:rFonts w:hint="eastAsia"/>
        </w:rPr>
        <w:t>（5）</w:t>
      </w:r>
      <w:r>
        <w:t>负责广播电视行业业务指导，加强广播电视阵地管理，把握正确的舆论导向和创作导向。</w:t>
      </w:r>
    </w:p>
    <w:p w14:paraId="72B95E5D">
      <w:pPr>
        <w:spacing w:line="560" w:lineRule="exact"/>
        <w:ind w:firstLine="616" w:firstLineChars="200"/>
      </w:pPr>
      <w:r>
        <w:rPr>
          <w:rFonts w:hint="eastAsia"/>
        </w:rPr>
        <w:t>（6）</w:t>
      </w:r>
      <w:r>
        <w:t>负责阳西旅游整体打造和宣传推广，指导、推进全域旅游工作，指导旅游行业发展；开展旅游市场开发，实施旅游信息化建设。</w:t>
      </w:r>
      <w:r>
        <w:rPr>
          <w:rFonts w:hint="eastAsia"/>
        </w:rPr>
        <w:br w:type="textWrapping"/>
      </w:r>
      <w:r>
        <w:t xml:space="preserve">    </w:t>
      </w:r>
      <w:r>
        <w:rPr>
          <w:rFonts w:hint="eastAsia"/>
        </w:rPr>
        <w:t>（7）</w:t>
      </w:r>
      <w:r>
        <w:t>负责全县全民健身工作，指导并开展群众性体育活动，组织指导国民体质监测；统筹全县竞技体育发展，组织指导监督体育训练竞赛工作。</w:t>
      </w:r>
      <w:r>
        <w:rPr>
          <w:rFonts w:hint="eastAsia"/>
        </w:rPr>
        <w:br w:type="textWrapping"/>
      </w:r>
      <w:r>
        <w:t xml:space="preserve">    </w:t>
      </w:r>
      <w:r>
        <w:rPr>
          <w:rFonts w:hint="eastAsia"/>
        </w:rPr>
        <w:t>（8）</w:t>
      </w:r>
      <w:r>
        <w:t>负责文化、广播电视、旅游、体育和文物行业的管理；协调指导文化、广播电视、旅游、体育产业发展。</w:t>
      </w:r>
      <w:r>
        <w:rPr>
          <w:rFonts w:hint="eastAsia"/>
        </w:rPr>
        <w:br w:type="textWrapping"/>
      </w:r>
      <w:r>
        <w:t xml:space="preserve">    </w:t>
      </w:r>
      <w:r>
        <w:rPr>
          <w:rFonts w:hint="eastAsia"/>
        </w:rPr>
        <w:t>（9）</w:t>
      </w:r>
      <w:r>
        <w:t>监督检查、指导、协调和依法承担文化、广播电视、旅游、体育等行政执法工作。</w:t>
      </w:r>
      <w:r>
        <w:rPr>
          <w:rFonts w:hint="eastAsia"/>
        </w:rPr>
        <w:br w:type="textWrapping"/>
      </w:r>
      <w:r>
        <w:t xml:space="preserve">    </w:t>
      </w:r>
      <w:r>
        <w:rPr>
          <w:rFonts w:hint="eastAsia"/>
        </w:rPr>
        <w:t>（10）</w:t>
      </w:r>
      <w:r>
        <w:t>指导和组织开展文化、广播电视、旅游、体育行业的交流与合作。</w:t>
      </w:r>
      <w:r>
        <w:rPr>
          <w:rFonts w:hint="eastAsia"/>
        </w:rPr>
        <w:br w:type="textWrapping"/>
      </w:r>
      <w:r>
        <w:t xml:space="preserve">    </w:t>
      </w:r>
      <w:r>
        <w:rPr>
          <w:rFonts w:hint="eastAsia"/>
        </w:rPr>
        <w:t>（11）</w:t>
      </w:r>
      <w:r>
        <w:t>负责县辖区内文化、文物、新闻出版、版权、广播电视、电影、旅游、体育、宗教事务的行政处罚以及相关行政强制、监督检查职责；组织、协调全县文化、文物、新闻出版、版权、广播电视、电影、旅游、体育、宗教事务的执法专项行动和重大的、跨部门、跨地区的行政执法工作。</w:t>
      </w:r>
      <w:r>
        <w:rPr>
          <w:rFonts w:hint="eastAsia"/>
        </w:rPr>
        <w:br w:type="textWrapping"/>
      </w:r>
      <w:r>
        <w:t xml:space="preserve">    </w:t>
      </w:r>
      <w:r>
        <w:rPr>
          <w:rFonts w:hint="eastAsia"/>
        </w:rPr>
        <w:t>（12）</w:t>
      </w:r>
      <w:r>
        <w:t>完成县委、县政府及市文化广电旅游体育局交办的其他任务</w:t>
      </w:r>
      <w:r>
        <w:rPr>
          <w:rFonts w:hint="eastAsia"/>
        </w:rPr>
        <w:t>。</w:t>
      </w:r>
    </w:p>
    <w:p w14:paraId="690A1555">
      <w:pPr>
        <w:spacing w:line="560" w:lineRule="exact"/>
        <w:ind w:firstLine="616" w:firstLineChars="200"/>
      </w:pPr>
      <w:r>
        <w:rPr>
          <w:rFonts w:hint="eastAsia"/>
        </w:rPr>
        <w:t>2.内设机构构成</w:t>
      </w:r>
    </w:p>
    <w:p w14:paraId="5CF3CFE5">
      <w:pPr>
        <w:spacing w:line="560" w:lineRule="exact"/>
        <w:ind w:firstLine="616" w:firstLineChars="200"/>
      </w:pPr>
      <w:r>
        <w:rPr>
          <w:rFonts w:hint="eastAsia"/>
        </w:rPr>
        <w:t>（1）办公室。负责文电、会务、机要、档案等机关日常运转和督办工作。承担纪检、监察、政府采购、宣传、信息、保密、信访、政务公开和安全保卫工作。组织开展调研活动。组织协调机关扶贫工作。统筹文化、广播电视、旅游、体育类社会组织管理和全县节庆管理工作。负责机关和指导所属单位的党群工作。承担机关和指导所属单位的干部人事、机构编制、劳动工资和离退休人员服务等工作。负责部门预算和相关财政资金管理工作。负责机关财务、资产管理工作。负责机关和所属单位内部审计工作。指导、监督所属单位财务、资产管理。制订且贯彻落实文化、广播电视、旅游、体育和文物设施、项目和专项资金管理办法并监督实施。</w:t>
      </w:r>
    </w:p>
    <w:p w14:paraId="3C9C7025">
      <w:pPr>
        <w:spacing w:line="560" w:lineRule="exact"/>
        <w:ind w:firstLine="616" w:firstLineChars="200"/>
      </w:pPr>
      <w:r>
        <w:rPr>
          <w:rFonts w:hint="eastAsia"/>
        </w:rPr>
        <w:t xml:space="preserve">（2）政策法规股。拟订全县文化、广播电视、旅游、体育和文物政策措施及规范性文件。组织拟订文化、广播电视、旅游、体育发展规划并监督实施。承担文化、广播电视、旅游、体育和文物领域体制机制改革工作。组织开展法律法规宣传教育。承担行政处罚听证、行政诉讼和法律事务工作。承担规范性文件的合法性审查工作。 </w:t>
      </w:r>
    </w:p>
    <w:p w14:paraId="4C8918A4">
      <w:pPr>
        <w:spacing w:line="560" w:lineRule="exact"/>
        <w:ind w:firstLine="616" w:firstLineChars="200"/>
      </w:pPr>
      <w:r>
        <w:rPr>
          <w:rFonts w:hint="eastAsia"/>
        </w:rPr>
        <w:t>（3）文化与交流合作股。拟订全县音乐、舞蹈、戏曲、戏剧、美术等文艺事业发展规划和扶持政策并组织实施。扶持体现社会主义核心价值观、具有导向性代表性示范性的文艺作品和文化艺术机构。推动各门类艺术、各艺术品种发展。指导协调全县性艺术展演、展览以及重大文艺活动。推动艺术资源的创造性转化和创新性发展。指导艺术创作、生产、评奖、研究和文化演出；指导文化艺术单位的业务建设和业余艺术教育及业余文艺创作与培训。拟订文化和旅游对外及对港澳台交流合作政策。负责阳西旅游整体形象打造及宣传推广。组织开展本县推进粤港澳大湾区文化和旅游合作相关工作。指导、管理文化和旅游对外及对港澳台交流、合作及宣传推广工作。组织协调大型文化和旅游对外及对港澳台交流推广活动。推动区域文化和旅游交流与合作。</w:t>
      </w:r>
    </w:p>
    <w:p w14:paraId="74AAD761">
      <w:pPr>
        <w:spacing w:line="560" w:lineRule="exact"/>
        <w:ind w:firstLine="616" w:firstLineChars="200"/>
      </w:pPr>
      <w:r>
        <w:rPr>
          <w:rFonts w:hint="eastAsia"/>
        </w:rPr>
        <w:t xml:space="preserve">（4）公共服务股。拟订全县文化和旅游公共服务政策及公共文化事业发展规划并组织实施。指导、协调和推动公共文化服务和旅游公共服务。拟订全县文化和旅游公共服务标准并监督实施。指导群众文化、少数民族文化、未成年人文化和老年文化工作。指导公共图书馆、文化馆（站）事业和基层综合性文化服务中心建设，指导旅游公共服务设施建设，指导公共数字文化和古籍保护工作。组织、指导和推动文化惠民工程、旅游便民惠民和志愿服务。统筹推进文化和旅游公共服务信息化建设。      </w:t>
      </w:r>
    </w:p>
    <w:p w14:paraId="0BB6782C">
      <w:pPr>
        <w:spacing w:line="560" w:lineRule="exact"/>
        <w:ind w:firstLine="616" w:firstLineChars="200"/>
      </w:pPr>
      <w:r>
        <w:rPr>
          <w:rFonts w:hint="eastAsia"/>
        </w:rPr>
        <w:t>（5）资源开发与产业发展股。承担全县文化和旅游资源普查、规划、开发和保护工作。拟订文化和旅游科技创新发展规划和艺术科研规划并组织实施。指导、推进全域旅游。指导重点旅游区域、目的地、线路的规划和乡村旅游、滨海旅游、生态旅游、休闲度假旅游发展。推进文化遗产资源合理利用。推动文化和旅游产品创新及开发体系建设。负责国家级旅游度假区和省级旅游度假区推荐工作，协调指导旅游景区开放开发工作。承担旅游扶贫以及红色旅游相关工作。组织协调国家文化公园建设。组织开展文化和旅游科研工作及成果推广。拟订全县文化、旅游、体育和文物产业政策和发展规划并组织实施。指导、促进文化、旅游、体育和文物产业及新型业态发展。推动产业投融资体系建设。促进全县文化、旅游与相关产业融合发展。推进全县区域、特色文化和旅游产业发展。指导文化产业园区、基地建设，培育文化和旅游骨干企业，扶持中小微企业发展，指导、促进品牌建设发展。推动文化产业和旅游产业对外投资和贸易工作。指导文化和旅游装备技术提升。组织实施文化、旅游招商引资工作。负责全县文化和旅游统计工作。</w:t>
      </w:r>
    </w:p>
    <w:p w14:paraId="46504736">
      <w:pPr>
        <w:spacing w:line="560" w:lineRule="exact"/>
        <w:ind w:firstLine="616" w:firstLineChars="200"/>
      </w:pPr>
      <w:r>
        <w:rPr>
          <w:rFonts w:hint="eastAsia"/>
        </w:rPr>
        <w:t xml:space="preserve">（6）市场管理股。拟订全县文化和旅游市场政策和发展规划并组织实施。负责对文化和旅游市场经营、服务质量进行行业监督管理，指导服务质量提升。承担文化和旅游行业信用体系建设工作。组织拟订文化和旅游市场经营场所、设施、服务、产品等标准并监督实施。指导旅游应急、救援和保险等工作。指导规范演出、艺术品、文化娱乐、网络文化、上网服务、旅游企业和从业人员的经营和服务行为。指导、监督高危险性体育项目。承担文化市场经营项目与活动、高危险性体育经营项目的审批（备案）、旅行社业务的审核工作。承担旅游经济运行监测、假日旅游市场、旅游安全综合协调和监督管理。指导协调文化、旅游行业协会工作。监督社会组织对旅游饭店星级评定及旅游景区质量等级评定。负责拟订全县旅游行业人才规划。                 </w:t>
      </w:r>
    </w:p>
    <w:p w14:paraId="667DA4C4">
      <w:pPr>
        <w:spacing w:line="560" w:lineRule="exact"/>
        <w:ind w:firstLine="616" w:firstLineChars="200"/>
      </w:pPr>
      <w:r>
        <w:rPr>
          <w:rFonts w:hint="eastAsia"/>
        </w:rPr>
        <w:t xml:space="preserve">（7）广播电视股。承担广播电视事业、产业发展规划并组织实施。指导、监督广播电视、网络视听节目创作生产和播出，依法承担广播电视业务的审批管理与指导监督。指导、协调广播电视机构开展重大宣传活动及突发事件报道和应急播报。指导和监管广播电视重点基础设施建设以及广播电视、信息网络视听节目的传输和安全输出。指导推进应急广播体系建设。指导协调广播电视覆盖网络的分级规划、建设、保护工作和推进“三网融合”工程。指导、监管广播电视节目制作的民办机构。 </w:t>
      </w:r>
    </w:p>
    <w:p w14:paraId="62324E07">
      <w:pPr>
        <w:spacing w:line="560" w:lineRule="exact"/>
        <w:ind w:firstLine="616" w:firstLineChars="200"/>
      </w:pPr>
      <w:r>
        <w:rPr>
          <w:rFonts w:hint="eastAsia"/>
        </w:rPr>
        <w:t>（8）文化遗产股。拟订全县文物博物事业发展规划和政策措施并组织实施。指导全县博物馆工作，承担博物馆管理制度规范和业务指导工作。推动全县文物和博物馆科技、信息化、标准化建设。协调、指导文物保护利用、考古工作和重大项目的实施工作。依法承担文物保护、考古和博物馆有关审核、审批事务及相关资质、资格认定工作。组织开展文物资源调查工作，承担全国、省级、市级重点文物保护单位的推荐和县级文物保护单位的审核工作。依法承担文化遗产保护传承和相关审核报备工作。指导民间珍贵文物抢救、征集工作，参与历史文化名城（镇、村）保护和监督管理工作。组织开展非物质文化遗产保护工作。组织、指导非物质文化遗产调查、记录、确认和建立名录。组织开展非物质文化遗产传承人群能力建设和保护工作队伍培训，协调推进非物质文化遗产知识产权保护工作。协调、指导文化生态保护区建设。</w:t>
      </w:r>
    </w:p>
    <w:p w14:paraId="38456CA8">
      <w:pPr>
        <w:spacing w:line="560" w:lineRule="exact"/>
        <w:ind w:firstLine="616" w:firstLineChars="200"/>
      </w:pPr>
      <w:r>
        <w:rPr>
          <w:rFonts w:hint="eastAsia"/>
        </w:rPr>
        <w:t>（9）群众体育股。拟订群众体育工作的发展规划、政策和标准等，并组织实施。指导、推进全民健身计划实施。建立和完善全民健身服务体系，推进体育公共服务发展，指导、监督公共体育设施建设和开放。组织指导国民体质监测和社会体育指导员工作。指导开展健身气功等群众性体育活动。承担县体育总会日常工作。组织群众体育对外交流和宣传工作。</w:t>
      </w:r>
    </w:p>
    <w:p w14:paraId="7E420651">
      <w:pPr>
        <w:spacing w:line="560" w:lineRule="exact"/>
        <w:ind w:firstLine="616" w:firstLineChars="200"/>
      </w:pPr>
      <w:r>
        <w:rPr>
          <w:rFonts w:hint="eastAsia"/>
        </w:rPr>
        <w:t>（10）竞技体育股。拟订全县竞技体育的发展规划并组织实施。负责落实国家奥运争光计划。承担竞技体育项目设置布局、业余训练、学校体育及体育后备人才基地建设和管理。组织开展全县青少年体育训练和竞赛。指导体育运动学校、业余体校的建设管理工作。负责全县运动员、教练员、裁判员教育、培训、考核、管理。负责运动员注册和等级评定工作。组织管理重大体育竞赛和反兴奋剂、体育科教工作。组织竞技体育对外交流和宣传工作。</w:t>
      </w:r>
    </w:p>
    <w:p w14:paraId="56EF6510">
      <w:pPr>
        <w:ind w:firstLine="616" w:firstLineChars="200"/>
        <w:rPr>
          <w:rFonts w:ascii="仿宋_GB2312" w:hAnsi="仿宋_GB2312" w:cs="仿宋_GB2312"/>
          <w:bCs/>
          <w:szCs w:val="32"/>
        </w:rPr>
      </w:pPr>
      <w:r>
        <w:rPr>
          <w:rFonts w:hint="eastAsia"/>
        </w:rPr>
        <w:t>（11）文化旅游市场综合执法大队。负责对接国家、省、市执法监督部门工作。负责全县文化、文物、新闻出版、版权、广播电视、电影、旅游、体育市场年度执法工作计划的起草、任务下达和监督落实。负责县辖区内文化、文物、旅游、体育、网络文化、广播电视、电影、新闻出版、版权及与之相关的“扫黄打非”执法工作任务、宗教事务等综合执法工作。负责指导、监督、协调全县文化、文物、新闻出版、版权及与之相关的“扫黄打非”、广播电视、电影、旅游、体育、宗教事务等综合执法工作。组织开展跨部门跨区域、重大违法行为的现场调查、行政处罚和行政强制工作。负责受理、协调、督办文化旅游市场举报投诉</w:t>
      </w:r>
      <w:r>
        <w:rPr>
          <w:rFonts w:hint="eastAsia" w:ascii="仿宋_GB2312" w:hAnsi="仿宋_GB2312" w:cs="仿宋_GB2312"/>
          <w:bCs/>
          <w:szCs w:val="32"/>
        </w:rPr>
        <w:t>。</w:t>
      </w:r>
    </w:p>
    <w:p w14:paraId="75D98019">
      <w:pPr>
        <w:ind w:firstLine="616" w:firstLineChars="200"/>
        <w:rPr>
          <w:highlight w:val="none"/>
        </w:rPr>
      </w:pPr>
      <w:r>
        <w:rPr>
          <w:rFonts w:hint="eastAsia"/>
          <w:highlight w:val="none"/>
        </w:rPr>
        <w:t>3.人员编制构成</w:t>
      </w:r>
    </w:p>
    <w:p w14:paraId="0B9934E7">
      <w:pPr>
        <w:ind w:firstLine="456" w:firstLineChars="200"/>
        <w:rPr>
          <w:rFonts w:eastAsia="宋体"/>
          <w:sz w:val="24"/>
          <w:szCs w:val="22"/>
          <w:highlight w:val="none"/>
        </w:rPr>
      </w:pPr>
      <w:r>
        <w:rPr>
          <w:rFonts w:hint="eastAsia" w:eastAsia="宋体"/>
          <w:sz w:val="24"/>
          <w:szCs w:val="22"/>
          <w:highlight w:val="none"/>
        </w:rPr>
        <w:t xml:space="preserve">  </w:t>
      </w:r>
      <w:r>
        <w:rPr>
          <w:rFonts w:hint="eastAsia" w:ascii="仿宋_GB2312" w:hAnsi="仿宋_GB2312" w:cs="仿宋_GB2312"/>
          <w:color w:val="000000" w:themeColor="text1"/>
          <w:szCs w:val="32"/>
          <w:highlight w:val="none"/>
          <w14:textFill>
            <w14:solidFill>
              <w14:schemeClr w14:val="tx1"/>
            </w14:solidFill>
          </w14:textFill>
        </w:rPr>
        <w:t>县文化广电旅游体育局行政编制12名，机关事业编制1</w:t>
      </w:r>
      <w:r>
        <w:rPr>
          <w:rFonts w:hint="eastAsia" w:ascii="仿宋_GB2312" w:hAnsi="仿宋_GB2312" w:cs="仿宋_GB2312"/>
          <w:color w:val="000000" w:themeColor="text1"/>
          <w:szCs w:val="32"/>
          <w:highlight w:val="none"/>
          <w:lang w:val="en-US" w:eastAsia="zh-CN"/>
          <w14:textFill>
            <w14:solidFill>
              <w14:schemeClr w14:val="tx1"/>
            </w14:solidFill>
          </w14:textFill>
        </w:rPr>
        <w:t>3</w:t>
      </w:r>
      <w:r>
        <w:rPr>
          <w:rFonts w:hint="eastAsia" w:ascii="仿宋_GB2312" w:hAnsi="仿宋_GB2312" w:cs="仿宋_GB2312"/>
          <w:color w:val="000000" w:themeColor="text1"/>
          <w:szCs w:val="32"/>
          <w:highlight w:val="none"/>
          <w14:textFill>
            <w14:solidFill>
              <w14:schemeClr w14:val="tx1"/>
            </w14:solidFill>
          </w14:textFill>
        </w:rPr>
        <w:t>名，行政执法专项编制13名。设局长1名，副局长3名；正股级领导职数11名，副股级领导职数10名（含专职党务工作者1名）</w:t>
      </w:r>
      <w:r>
        <w:rPr>
          <w:rFonts w:hint="eastAsia" w:ascii="仿宋_GB2312" w:hAnsi="仿宋_GB2312" w:cs="仿宋_GB2312"/>
          <w:bCs/>
          <w:szCs w:val="32"/>
          <w:highlight w:val="none"/>
          <w:lang w:bidi="ar"/>
        </w:rPr>
        <w:t>。</w:t>
      </w:r>
      <w:bookmarkEnd w:id="5"/>
    </w:p>
    <w:p w14:paraId="19F0B936">
      <w:pPr>
        <w:ind w:firstLine="616" w:firstLineChars="200"/>
        <w:rPr>
          <w:b/>
        </w:rPr>
      </w:pPr>
      <w:r>
        <w:rPr>
          <w:rFonts w:hint="eastAsia"/>
          <w:b/>
        </w:rPr>
        <w:t>（二）年度总体工作和重点工作任务</w:t>
      </w:r>
      <w:bookmarkEnd w:id="6"/>
      <w:bookmarkEnd w:id="7"/>
      <w:r>
        <w:rPr>
          <w:rFonts w:hint="eastAsia"/>
          <w:b/>
        </w:rPr>
        <w:t>。</w:t>
      </w:r>
    </w:p>
    <w:p w14:paraId="4477B3B3">
      <w:pPr>
        <w:keepNext w:val="0"/>
        <w:keepLines w:val="0"/>
        <w:pageBreakBefore w:val="0"/>
        <w:kinsoku/>
        <w:wordWrap/>
        <w:overflowPunct/>
        <w:topLinePunct w:val="0"/>
        <w:autoSpaceDE/>
        <w:autoSpaceDN/>
        <w:bidi w:val="0"/>
        <w:adjustRightInd w:val="0"/>
        <w:snapToGrid w:val="0"/>
        <w:spacing w:line="560" w:lineRule="exact"/>
        <w:ind w:firstLine="616" w:firstLineChars="200"/>
        <w:textAlignment w:val="auto"/>
        <w:rPr>
          <w:rFonts w:hint="eastAsia" w:ascii="仿宋" w:hAnsi="仿宋" w:eastAsia="仿宋" w:cs="仿宋"/>
          <w:color w:val="auto"/>
          <w:sz w:val="32"/>
          <w:szCs w:val="32"/>
          <w:highlight w:val="none"/>
        </w:rPr>
      </w:pPr>
      <w:bookmarkStart w:id="8" w:name="_Toc8086"/>
      <w:bookmarkStart w:id="9" w:name="_Toc28424_WPSOffice_Level2"/>
      <w:r>
        <w:rPr>
          <w:rFonts w:hint="eastAsia" w:ascii="仿宋" w:hAnsi="仿宋" w:eastAsia="仿宋" w:cs="仿宋"/>
          <w:color w:val="auto"/>
          <w:sz w:val="32"/>
          <w:szCs w:val="32"/>
          <w:highlight w:val="none"/>
        </w:rPr>
        <w:t>2025年，阳西县文化广电旅游体育局在县委、县政府的正确领导和上级部门的有力指导下，坚持以习近平新时代中国特色社会主义思想为指导，深入学习贯彻党的二十大及二十届二中、三中</w:t>
      </w:r>
      <w:r>
        <w:rPr>
          <w:rFonts w:hint="eastAsia" w:ascii="仿宋" w:hAnsi="仿宋" w:eastAsia="仿宋" w:cs="仿宋"/>
          <w:color w:val="auto"/>
          <w:sz w:val="32"/>
          <w:szCs w:val="32"/>
          <w:highlight w:val="none"/>
          <w:lang w:eastAsia="zh-CN"/>
        </w:rPr>
        <w:t>和四中</w:t>
      </w:r>
      <w:r>
        <w:rPr>
          <w:rFonts w:hint="eastAsia" w:ascii="仿宋" w:hAnsi="仿宋" w:eastAsia="仿宋" w:cs="仿宋"/>
          <w:color w:val="auto"/>
          <w:sz w:val="32"/>
          <w:szCs w:val="32"/>
          <w:highlight w:val="none"/>
        </w:rPr>
        <w:t>全会精神，紧紧围绕全县中心工作和发展大局，统筹推进文化、旅游、体育事业高质量发展，各项工作取得显著成效。</w:t>
      </w:r>
    </w:p>
    <w:p w14:paraId="258C37A6">
      <w:pPr>
        <w:keepNext w:val="0"/>
        <w:keepLines w:val="0"/>
        <w:pageBreakBefore w:val="0"/>
        <w:kinsoku/>
        <w:wordWrap/>
        <w:overflowPunct/>
        <w:topLinePunct w:val="0"/>
        <w:autoSpaceDE/>
        <w:autoSpaceDN/>
        <w:bidi w:val="0"/>
        <w:adjustRightInd w:val="0"/>
        <w:snapToGrid w:val="0"/>
        <w:spacing w:line="560" w:lineRule="exact"/>
        <w:ind w:firstLine="616" w:firstLineChars="200"/>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一、2025年工作成效</w:t>
      </w:r>
    </w:p>
    <w:p w14:paraId="3E6724FF">
      <w:pPr>
        <w:keepNext w:val="0"/>
        <w:keepLines w:val="0"/>
        <w:pageBreakBefore w:val="0"/>
        <w:kinsoku/>
        <w:wordWrap/>
        <w:overflowPunct/>
        <w:topLinePunct w:val="0"/>
        <w:autoSpaceDE/>
        <w:autoSpaceDN/>
        <w:bidi w:val="0"/>
        <w:adjustRightInd w:val="0"/>
        <w:snapToGrid w:val="0"/>
        <w:spacing w:line="560" w:lineRule="exact"/>
        <w:ind w:firstLine="616" w:firstLineChars="200"/>
        <w:textAlignment w:val="auto"/>
        <w:rPr>
          <w:rFonts w:hint="eastAsia" w:ascii="楷体" w:hAnsi="楷体" w:eastAsia="楷体" w:cs="楷体"/>
          <w:color w:val="auto"/>
          <w:sz w:val="32"/>
          <w:szCs w:val="32"/>
          <w:highlight w:val="none"/>
          <w:lang w:eastAsia="zh-CN"/>
        </w:rPr>
      </w:pPr>
      <w:r>
        <w:rPr>
          <w:rFonts w:hint="eastAsia" w:ascii="楷体" w:hAnsi="楷体" w:eastAsia="楷体" w:cs="楷体"/>
          <w:color w:val="auto"/>
          <w:sz w:val="32"/>
          <w:szCs w:val="32"/>
          <w:highlight w:val="none"/>
        </w:rPr>
        <w:t>（一）党的建设全面加强，政治引领坚强有力</w:t>
      </w:r>
    </w:p>
    <w:p w14:paraId="018DA02C">
      <w:pPr>
        <w:keepNext w:val="0"/>
        <w:keepLines w:val="0"/>
        <w:pageBreakBefore w:val="0"/>
        <w:kinsoku/>
        <w:wordWrap/>
        <w:overflowPunct/>
        <w:topLinePunct w:val="0"/>
        <w:autoSpaceDE/>
        <w:autoSpaceDN/>
        <w:bidi w:val="0"/>
        <w:adjustRightInd w:val="0"/>
        <w:snapToGrid w:val="0"/>
        <w:spacing w:line="560" w:lineRule="exact"/>
        <w:ind w:firstLine="616" w:firstLineChars="200"/>
        <w:textAlignment w:val="auto"/>
        <w:rPr>
          <w:rFonts w:hint="eastAsia" w:ascii="仿宋" w:hAnsi="仿宋" w:eastAsia="仿宋" w:cs="仿宋"/>
          <w:color w:val="auto"/>
          <w:sz w:val="32"/>
          <w:szCs w:val="32"/>
          <w:highlight w:val="none"/>
        </w:rPr>
      </w:pPr>
      <w:r>
        <w:rPr>
          <w:rFonts w:hint="eastAsia" w:ascii="仿宋" w:hAnsi="仿宋" w:eastAsia="仿宋" w:cs="仿宋"/>
          <w:b/>
          <w:bCs/>
          <w:color w:val="auto"/>
          <w:sz w:val="32"/>
          <w:szCs w:val="32"/>
          <w:highlight w:val="none"/>
          <w:lang w:val="en-US" w:eastAsia="zh-CN"/>
        </w:rPr>
        <w:t>1.</w:t>
      </w:r>
      <w:r>
        <w:rPr>
          <w:rFonts w:hint="eastAsia" w:ascii="仿宋" w:hAnsi="仿宋" w:eastAsia="仿宋" w:cs="仿宋"/>
          <w:b/>
          <w:bCs/>
          <w:color w:val="auto"/>
          <w:sz w:val="32"/>
          <w:szCs w:val="32"/>
          <w:highlight w:val="none"/>
        </w:rPr>
        <w:t>理论武装持续深化。</w:t>
      </w:r>
      <w:r>
        <w:rPr>
          <w:rFonts w:hint="eastAsia" w:ascii="仿宋" w:hAnsi="仿宋" w:eastAsia="仿宋" w:cs="仿宋"/>
          <w:color w:val="auto"/>
          <w:sz w:val="32"/>
          <w:szCs w:val="32"/>
          <w:highlight w:val="none"/>
        </w:rPr>
        <w:t>严格执行</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第一议题</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制度，全年召开党组会议</w:t>
      </w:r>
      <w:r>
        <w:rPr>
          <w:rFonts w:hint="eastAsia" w:ascii="仿宋" w:hAnsi="仿宋" w:eastAsia="仿宋" w:cs="仿宋"/>
          <w:color w:val="auto"/>
          <w:sz w:val="32"/>
          <w:szCs w:val="32"/>
          <w:highlight w:val="none"/>
          <w:lang w:val="en-US" w:eastAsia="zh-CN"/>
        </w:rPr>
        <w:t>30</w:t>
      </w:r>
      <w:r>
        <w:rPr>
          <w:rFonts w:hint="eastAsia" w:ascii="仿宋" w:hAnsi="仿宋" w:eastAsia="仿宋" w:cs="仿宋"/>
          <w:color w:val="auto"/>
          <w:sz w:val="32"/>
          <w:szCs w:val="32"/>
          <w:highlight w:val="none"/>
        </w:rPr>
        <w:t>次，组织理论学习中心组学习</w:t>
      </w:r>
      <w:r>
        <w:rPr>
          <w:rFonts w:hint="eastAsia" w:ascii="仿宋" w:hAnsi="仿宋" w:eastAsia="仿宋" w:cs="仿宋"/>
          <w:color w:val="auto"/>
          <w:sz w:val="32"/>
          <w:szCs w:val="32"/>
          <w:highlight w:val="none"/>
          <w:lang w:val="en-US" w:eastAsia="zh-CN"/>
        </w:rPr>
        <w:t>16</w:t>
      </w:r>
      <w:r>
        <w:rPr>
          <w:rFonts w:hint="eastAsia" w:ascii="仿宋" w:hAnsi="仿宋" w:eastAsia="仿宋" w:cs="仿宋"/>
          <w:color w:val="auto"/>
          <w:sz w:val="32"/>
          <w:szCs w:val="32"/>
          <w:highlight w:val="none"/>
        </w:rPr>
        <w:t>次，以习近平新时代中国特色社会主义思想和党的二十大</w:t>
      </w:r>
      <w:r>
        <w:rPr>
          <w:rFonts w:hint="eastAsia" w:ascii="仿宋" w:hAnsi="仿宋" w:eastAsia="仿宋" w:cs="仿宋"/>
          <w:color w:val="auto"/>
          <w:sz w:val="32"/>
          <w:szCs w:val="32"/>
          <w:highlight w:val="none"/>
          <w:lang w:eastAsia="zh-CN"/>
        </w:rPr>
        <w:t>、二十届三中、四中全会</w:t>
      </w:r>
      <w:r>
        <w:rPr>
          <w:rFonts w:hint="eastAsia" w:ascii="仿宋" w:hAnsi="仿宋" w:eastAsia="仿宋" w:cs="仿宋"/>
          <w:color w:val="auto"/>
          <w:sz w:val="32"/>
          <w:szCs w:val="32"/>
          <w:highlight w:val="none"/>
        </w:rPr>
        <w:t>精神为思想和行动指南，深入学习贯彻习近平总书记重要讲话和指示批示精神，确保党中央决策部署在文旅体系统落地生根。</w:t>
      </w:r>
    </w:p>
    <w:p w14:paraId="26205193">
      <w:pPr>
        <w:keepNext w:val="0"/>
        <w:keepLines w:val="0"/>
        <w:pageBreakBefore w:val="0"/>
        <w:widowControl w:val="0"/>
        <w:kinsoku/>
        <w:wordWrap/>
        <w:overflowPunct/>
        <w:topLinePunct w:val="0"/>
        <w:autoSpaceDE/>
        <w:autoSpaceDN/>
        <w:bidi w:val="0"/>
        <w:adjustRightInd w:val="0"/>
        <w:snapToGrid w:val="0"/>
        <w:spacing w:line="560" w:lineRule="exact"/>
        <w:ind w:firstLine="616"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b/>
          <w:bCs/>
          <w:color w:val="auto"/>
          <w:sz w:val="32"/>
          <w:szCs w:val="32"/>
          <w:highlight w:val="none"/>
          <w:lang w:val="en-US" w:eastAsia="zh-CN"/>
        </w:rPr>
        <w:t>2.</w:t>
      </w:r>
      <w:r>
        <w:rPr>
          <w:rFonts w:hint="eastAsia" w:ascii="仿宋" w:hAnsi="仿宋" w:eastAsia="仿宋" w:cs="仿宋"/>
          <w:b/>
          <w:bCs/>
          <w:color w:val="auto"/>
          <w:sz w:val="32"/>
          <w:szCs w:val="32"/>
          <w:highlight w:val="none"/>
        </w:rPr>
        <w:t>党风廉政建设扎实推进。</w:t>
      </w:r>
      <w:r>
        <w:rPr>
          <w:rFonts w:hint="eastAsia" w:ascii="仿宋" w:hAnsi="仿宋" w:eastAsia="仿宋" w:cs="仿宋"/>
          <w:color w:val="auto"/>
          <w:sz w:val="32"/>
          <w:szCs w:val="32"/>
          <w:highlight w:val="none"/>
        </w:rPr>
        <w:t>深入开展中央八项规定精神学习教育，</w:t>
      </w:r>
      <w:r>
        <w:rPr>
          <w:rFonts w:hint="eastAsia" w:ascii="仿宋" w:hAnsi="仿宋" w:eastAsia="仿宋" w:cs="仿宋"/>
          <w:color w:val="auto"/>
          <w:sz w:val="32"/>
          <w:szCs w:val="32"/>
          <w:highlight w:val="none"/>
          <w:lang w:eastAsia="zh-CN"/>
        </w:rPr>
        <w:t>共开展谈心谈话</w:t>
      </w:r>
      <w:r>
        <w:rPr>
          <w:rFonts w:hint="eastAsia" w:ascii="仿宋" w:hAnsi="仿宋" w:eastAsia="仿宋" w:cs="仿宋"/>
          <w:color w:val="auto"/>
          <w:sz w:val="32"/>
          <w:szCs w:val="32"/>
          <w:highlight w:val="none"/>
          <w:lang w:val="en-US" w:eastAsia="zh-CN"/>
        </w:rPr>
        <w:t>50余次，</w:t>
      </w:r>
      <w:r>
        <w:rPr>
          <w:rFonts w:hint="eastAsia" w:ascii="仿宋" w:hAnsi="仿宋" w:eastAsia="仿宋" w:cs="仿宋"/>
          <w:color w:val="auto"/>
          <w:sz w:val="32"/>
          <w:szCs w:val="32"/>
          <w:highlight w:val="none"/>
        </w:rPr>
        <w:t>集中观看</w:t>
      </w:r>
      <w:r>
        <w:rPr>
          <w:rFonts w:hint="eastAsia" w:ascii="仿宋" w:hAnsi="仿宋" w:eastAsia="仿宋" w:cs="仿宋"/>
          <w:color w:val="auto"/>
          <w:sz w:val="32"/>
          <w:szCs w:val="32"/>
          <w:highlight w:val="none"/>
          <w:lang w:eastAsia="zh-CN"/>
        </w:rPr>
        <w:t>八项规定</w:t>
      </w:r>
      <w:r>
        <w:rPr>
          <w:rFonts w:hint="eastAsia" w:ascii="仿宋" w:hAnsi="仿宋" w:eastAsia="仿宋" w:cs="仿宋"/>
          <w:color w:val="auto"/>
          <w:sz w:val="32"/>
          <w:szCs w:val="32"/>
          <w:highlight w:val="none"/>
        </w:rPr>
        <w:t>警示教育片</w:t>
      </w:r>
      <w:r>
        <w:rPr>
          <w:rFonts w:hint="eastAsia" w:ascii="仿宋" w:hAnsi="仿宋" w:eastAsia="仿宋" w:cs="仿宋"/>
          <w:color w:val="auto"/>
          <w:sz w:val="32"/>
          <w:szCs w:val="32"/>
          <w:highlight w:val="none"/>
          <w:lang w:val="en-US" w:eastAsia="zh-CN"/>
        </w:rPr>
        <w:t>2次</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通报中央及省、市</w:t>
      </w:r>
      <w:r>
        <w:rPr>
          <w:rFonts w:hint="eastAsia" w:ascii="仿宋" w:hAnsi="仿宋" w:eastAsia="仿宋" w:cs="仿宋"/>
          <w:color w:val="auto"/>
          <w:sz w:val="32"/>
          <w:szCs w:val="32"/>
          <w:highlight w:val="none"/>
          <w:lang w:eastAsia="zh-CN"/>
        </w:rPr>
        <w:t>部门</w:t>
      </w:r>
      <w:r>
        <w:rPr>
          <w:rFonts w:hint="eastAsia" w:ascii="仿宋" w:hAnsi="仿宋" w:eastAsia="仿宋" w:cs="仿宋"/>
          <w:color w:val="auto"/>
          <w:sz w:val="32"/>
          <w:szCs w:val="32"/>
          <w:highlight w:val="none"/>
        </w:rPr>
        <w:t>曝光的违反中央八项规定精神典型案例</w:t>
      </w: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rPr>
        <w:t>次</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推动党员干部知敬畏、存戒惧、守底线。</w:t>
      </w:r>
    </w:p>
    <w:p w14:paraId="1E45DC69">
      <w:pPr>
        <w:keepNext w:val="0"/>
        <w:keepLines w:val="0"/>
        <w:pageBreakBefore w:val="0"/>
        <w:kinsoku/>
        <w:wordWrap/>
        <w:overflowPunct/>
        <w:topLinePunct w:val="0"/>
        <w:autoSpaceDE/>
        <w:autoSpaceDN/>
        <w:bidi w:val="0"/>
        <w:adjustRightInd w:val="0"/>
        <w:snapToGrid w:val="0"/>
        <w:spacing w:line="560" w:lineRule="exact"/>
        <w:ind w:firstLine="616" w:firstLineChars="200"/>
        <w:textAlignment w:val="auto"/>
        <w:rPr>
          <w:rFonts w:hint="eastAsia" w:ascii="仿宋" w:hAnsi="仿宋" w:eastAsia="仿宋" w:cs="仿宋"/>
          <w:color w:val="auto"/>
          <w:sz w:val="32"/>
          <w:szCs w:val="32"/>
          <w:highlight w:val="none"/>
        </w:rPr>
      </w:pPr>
      <w:r>
        <w:rPr>
          <w:rFonts w:hint="eastAsia" w:ascii="仿宋" w:hAnsi="仿宋" w:eastAsia="仿宋" w:cs="仿宋"/>
          <w:b/>
          <w:bCs/>
          <w:color w:val="auto"/>
          <w:sz w:val="32"/>
          <w:szCs w:val="32"/>
          <w:highlight w:val="none"/>
          <w:lang w:val="en-US" w:eastAsia="zh-CN"/>
        </w:rPr>
        <w:t>3.</w:t>
      </w:r>
      <w:r>
        <w:rPr>
          <w:rFonts w:hint="eastAsia" w:ascii="仿宋" w:hAnsi="仿宋" w:eastAsia="仿宋" w:cs="仿宋"/>
          <w:b/>
          <w:bCs/>
          <w:color w:val="auto"/>
          <w:sz w:val="32"/>
          <w:szCs w:val="32"/>
          <w:highlight w:val="none"/>
        </w:rPr>
        <w:t>基层党组织建设规范提升。</w:t>
      </w:r>
      <w:r>
        <w:rPr>
          <w:rFonts w:hint="eastAsia" w:ascii="仿宋" w:hAnsi="仿宋" w:eastAsia="仿宋" w:cs="仿宋"/>
          <w:color w:val="auto"/>
          <w:sz w:val="32"/>
          <w:szCs w:val="32"/>
          <w:highlight w:val="none"/>
        </w:rPr>
        <w:t>召开民主生活会2次，组织生活会2次，</w:t>
      </w:r>
      <w:r>
        <w:rPr>
          <w:rFonts w:hint="eastAsia" w:ascii="仿宋" w:hAnsi="仿宋" w:eastAsia="仿宋" w:cs="仿宋"/>
          <w:color w:val="auto"/>
          <w:sz w:val="32"/>
          <w:szCs w:val="32"/>
          <w:highlight w:val="none"/>
          <w:lang w:eastAsia="zh-CN"/>
        </w:rPr>
        <w:t>定期</w:t>
      </w:r>
      <w:r>
        <w:rPr>
          <w:rFonts w:hint="eastAsia" w:ascii="仿宋" w:hAnsi="仿宋" w:eastAsia="仿宋" w:cs="仿宋"/>
          <w:color w:val="auto"/>
          <w:sz w:val="32"/>
          <w:szCs w:val="32"/>
          <w:highlight w:val="none"/>
        </w:rPr>
        <w:t>开展</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四下基层</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活动，党员干部深入基层服务</w:t>
      </w:r>
      <w:r>
        <w:rPr>
          <w:rFonts w:hint="eastAsia" w:ascii="仿宋" w:hAnsi="仿宋" w:eastAsia="仿宋" w:cs="仿宋"/>
          <w:color w:val="auto"/>
          <w:sz w:val="32"/>
          <w:szCs w:val="32"/>
          <w:highlight w:val="none"/>
          <w:lang w:val="en-US" w:eastAsia="zh-CN"/>
        </w:rPr>
        <w:t xml:space="preserve">  623</w:t>
      </w:r>
      <w:r>
        <w:rPr>
          <w:rFonts w:hint="eastAsia" w:ascii="仿宋" w:hAnsi="仿宋" w:eastAsia="仿宋" w:cs="仿宋"/>
          <w:color w:val="auto"/>
          <w:sz w:val="32"/>
          <w:szCs w:val="32"/>
          <w:highlight w:val="none"/>
        </w:rPr>
        <w:t>余人次，</w:t>
      </w:r>
      <w:r>
        <w:rPr>
          <w:rFonts w:hint="eastAsia" w:ascii="仿宋" w:hAnsi="仿宋" w:eastAsia="仿宋" w:cs="仿宋"/>
          <w:color w:val="auto"/>
          <w:sz w:val="32"/>
          <w:szCs w:val="32"/>
          <w:highlight w:val="none"/>
          <w:lang w:eastAsia="zh-CN"/>
        </w:rPr>
        <w:t>扎实</w:t>
      </w:r>
      <w:r>
        <w:rPr>
          <w:rFonts w:hint="eastAsia" w:ascii="仿宋" w:hAnsi="仿宋" w:eastAsia="仿宋" w:cs="仿宋"/>
          <w:color w:val="auto"/>
          <w:sz w:val="32"/>
          <w:szCs w:val="32"/>
          <w:highlight w:val="none"/>
        </w:rPr>
        <w:t>推进</w:t>
      </w:r>
      <w:r>
        <w:rPr>
          <w:rFonts w:hint="eastAsia" w:ascii="仿宋" w:hAnsi="仿宋" w:eastAsia="仿宋" w:cs="仿宋"/>
          <w:color w:val="auto"/>
          <w:sz w:val="32"/>
          <w:szCs w:val="32"/>
          <w:highlight w:val="none"/>
          <w:lang w:eastAsia="zh-CN"/>
        </w:rPr>
        <w:t>“两新”组织</w:t>
      </w:r>
      <w:r>
        <w:rPr>
          <w:rFonts w:hint="eastAsia" w:ascii="仿宋" w:hAnsi="仿宋" w:eastAsia="仿宋" w:cs="仿宋"/>
          <w:color w:val="auto"/>
          <w:sz w:val="32"/>
          <w:szCs w:val="32"/>
          <w:highlight w:val="none"/>
        </w:rPr>
        <w:t>“两个覆盖”，在符合条件的文旅行业协会中建立</w:t>
      </w:r>
      <w:r>
        <w:rPr>
          <w:rFonts w:hint="eastAsia" w:ascii="仿宋" w:hAnsi="仿宋" w:eastAsia="仿宋" w:cs="仿宋"/>
          <w:color w:val="auto"/>
          <w:sz w:val="32"/>
          <w:szCs w:val="32"/>
          <w:highlight w:val="none"/>
          <w:lang w:val="en-US" w:eastAsia="zh-CN"/>
        </w:rPr>
        <w:t>6个</w:t>
      </w:r>
      <w:r>
        <w:rPr>
          <w:rFonts w:hint="eastAsia" w:ascii="仿宋" w:hAnsi="仿宋" w:eastAsia="仿宋" w:cs="仿宋"/>
          <w:color w:val="auto"/>
          <w:sz w:val="32"/>
          <w:szCs w:val="32"/>
          <w:highlight w:val="none"/>
        </w:rPr>
        <w:t>党支部，</w:t>
      </w:r>
      <w:r>
        <w:rPr>
          <w:rFonts w:hint="eastAsia" w:ascii="仿宋" w:hAnsi="仿宋" w:eastAsia="仿宋" w:cs="仿宋"/>
          <w:color w:val="auto"/>
          <w:sz w:val="32"/>
          <w:szCs w:val="32"/>
          <w:highlight w:val="none"/>
          <w:lang w:eastAsia="zh-CN"/>
        </w:rPr>
        <w:t>增强</w:t>
      </w:r>
      <w:r>
        <w:rPr>
          <w:rFonts w:hint="eastAsia" w:ascii="仿宋" w:hAnsi="仿宋" w:eastAsia="仿宋" w:cs="仿宋"/>
          <w:color w:val="auto"/>
          <w:sz w:val="32"/>
          <w:szCs w:val="32"/>
          <w:highlight w:val="none"/>
        </w:rPr>
        <w:t>党组织在文旅行业的号召力和凝聚力。</w:t>
      </w:r>
    </w:p>
    <w:p w14:paraId="11D192FB">
      <w:pPr>
        <w:keepNext w:val="0"/>
        <w:keepLines w:val="0"/>
        <w:pageBreakBefore w:val="0"/>
        <w:widowControl w:val="0"/>
        <w:kinsoku/>
        <w:wordWrap/>
        <w:overflowPunct/>
        <w:topLinePunct w:val="0"/>
        <w:autoSpaceDE/>
        <w:autoSpaceDN/>
        <w:bidi w:val="0"/>
        <w:adjustRightInd w:val="0"/>
        <w:snapToGrid w:val="0"/>
        <w:spacing w:line="560" w:lineRule="exact"/>
        <w:ind w:firstLine="616"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b/>
          <w:bCs/>
          <w:color w:val="auto"/>
          <w:sz w:val="32"/>
          <w:szCs w:val="32"/>
          <w:highlight w:val="none"/>
          <w:lang w:val="en-US" w:eastAsia="zh-CN"/>
        </w:rPr>
        <w:t>4.</w:t>
      </w:r>
      <w:r>
        <w:rPr>
          <w:rFonts w:hint="eastAsia" w:ascii="仿宋" w:hAnsi="仿宋" w:eastAsia="仿宋" w:cs="仿宋"/>
          <w:b/>
          <w:bCs/>
          <w:color w:val="auto"/>
          <w:sz w:val="32"/>
          <w:szCs w:val="32"/>
          <w:highlight w:val="none"/>
          <w:lang w:eastAsia="zh-CN"/>
        </w:rPr>
        <w:t>严格落实意识形态工作责任制。</w:t>
      </w:r>
      <w:r>
        <w:rPr>
          <w:rFonts w:hint="eastAsia" w:ascii="仿宋" w:hAnsi="仿宋" w:eastAsia="仿宋" w:cs="仿宋"/>
          <w:color w:val="auto"/>
          <w:sz w:val="32"/>
          <w:szCs w:val="32"/>
          <w:highlight w:val="none"/>
          <w:lang w:eastAsia="zh-CN"/>
        </w:rPr>
        <w:t> 加强对各类文化场馆意识形态风险研判和意识形态阵地的管理。</w:t>
      </w:r>
      <w:r>
        <w:rPr>
          <w:rFonts w:hint="eastAsia" w:ascii="仿宋" w:hAnsi="仿宋" w:eastAsia="仿宋" w:cs="仿宋"/>
          <w:color w:val="auto"/>
          <w:sz w:val="32"/>
          <w:szCs w:val="32"/>
          <w:highlight w:val="none"/>
        </w:rPr>
        <w:t>全年研究意识形态工作</w:t>
      </w: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rPr>
        <w:t>次，审批营业性演出许可</w:t>
      </w:r>
      <w:r>
        <w:rPr>
          <w:rFonts w:hint="eastAsia" w:ascii="仿宋" w:hAnsi="仿宋" w:eastAsia="仿宋" w:cs="仿宋"/>
          <w:color w:val="auto"/>
          <w:sz w:val="32"/>
          <w:szCs w:val="32"/>
          <w:highlight w:val="none"/>
          <w:lang w:val="en-US" w:eastAsia="zh-CN"/>
        </w:rPr>
        <w:t>45</w:t>
      </w:r>
      <w:r>
        <w:rPr>
          <w:rFonts w:hint="eastAsia" w:ascii="仿宋" w:hAnsi="仿宋" w:eastAsia="仿宋" w:cs="仿宋"/>
          <w:color w:val="auto"/>
          <w:sz w:val="32"/>
          <w:szCs w:val="32"/>
          <w:highlight w:val="none"/>
        </w:rPr>
        <w:t>项，文化活动</w:t>
      </w:r>
      <w:r>
        <w:rPr>
          <w:rFonts w:hint="eastAsia" w:ascii="仿宋" w:hAnsi="仿宋" w:eastAsia="仿宋" w:cs="仿宋"/>
          <w:color w:val="auto"/>
          <w:sz w:val="32"/>
          <w:szCs w:val="32"/>
          <w:highlight w:val="none"/>
          <w:lang w:val="en-US" w:eastAsia="zh-CN"/>
        </w:rPr>
        <w:t>15</w:t>
      </w:r>
      <w:r>
        <w:rPr>
          <w:rFonts w:hint="eastAsia" w:ascii="仿宋" w:hAnsi="仿宋" w:eastAsia="仿宋" w:cs="仿宋"/>
          <w:color w:val="auto"/>
          <w:sz w:val="32"/>
          <w:szCs w:val="32"/>
          <w:highlight w:val="none"/>
        </w:rPr>
        <w:t>场</w:t>
      </w:r>
      <w:r>
        <w:rPr>
          <w:rFonts w:hint="eastAsia" w:ascii="仿宋" w:hAnsi="仿宋" w:eastAsia="仿宋" w:cs="仿宋"/>
          <w:color w:val="auto"/>
          <w:sz w:val="32"/>
          <w:szCs w:val="32"/>
          <w:highlight w:val="none"/>
          <w:lang w:eastAsia="zh-CN"/>
        </w:rPr>
        <w:t>。强化信息发布、政策解读和舆情监测引导，营造积极健康、向上向好的舆论氛围。</w:t>
      </w:r>
    </w:p>
    <w:p w14:paraId="003C6ED6">
      <w:pPr>
        <w:keepNext w:val="0"/>
        <w:keepLines w:val="0"/>
        <w:pageBreakBefore w:val="0"/>
        <w:kinsoku/>
        <w:wordWrap/>
        <w:overflowPunct/>
        <w:topLinePunct w:val="0"/>
        <w:autoSpaceDE/>
        <w:autoSpaceDN/>
        <w:bidi w:val="0"/>
        <w:adjustRightInd w:val="0"/>
        <w:snapToGrid w:val="0"/>
        <w:spacing w:line="560" w:lineRule="exact"/>
        <w:ind w:firstLine="616" w:firstLineChars="200"/>
        <w:textAlignment w:val="auto"/>
        <w:rPr>
          <w:rFonts w:hint="eastAsia" w:ascii="楷体" w:hAnsi="楷体" w:eastAsia="楷体" w:cs="楷体"/>
          <w:color w:val="auto"/>
          <w:sz w:val="32"/>
          <w:szCs w:val="32"/>
          <w:highlight w:val="none"/>
        </w:rPr>
      </w:pPr>
      <w:r>
        <w:rPr>
          <w:rFonts w:hint="eastAsia" w:ascii="楷体" w:hAnsi="楷体" w:eastAsia="楷体" w:cs="楷体"/>
          <w:color w:val="auto"/>
          <w:sz w:val="32"/>
          <w:szCs w:val="32"/>
          <w:highlight w:val="none"/>
          <w:lang w:val="en-US" w:eastAsia="zh-CN"/>
        </w:rPr>
        <w:t>（二）坚持</w:t>
      </w:r>
      <w:r>
        <w:rPr>
          <w:rFonts w:hint="eastAsia" w:ascii="楷体" w:hAnsi="楷体" w:eastAsia="楷体" w:cs="楷体"/>
          <w:color w:val="auto"/>
          <w:sz w:val="32"/>
          <w:szCs w:val="32"/>
          <w:highlight w:val="none"/>
        </w:rPr>
        <w:t>法治思想</w:t>
      </w:r>
      <w:r>
        <w:rPr>
          <w:rFonts w:hint="eastAsia" w:ascii="楷体" w:hAnsi="楷体" w:eastAsia="楷体" w:cs="楷体"/>
          <w:color w:val="auto"/>
          <w:sz w:val="32"/>
          <w:szCs w:val="32"/>
          <w:highlight w:val="none"/>
          <w:lang w:eastAsia="zh-CN"/>
        </w:rPr>
        <w:t>，</w:t>
      </w:r>
      <w:r>
        <w:rPr>
          <w:rFonts w:hint="eastAsia" w:ascii="楷体" w:hAnsi="楷体" w:eastAsia="楷体" w:cs="楷体"/>
          <w:color w:val="auto"/>
          <w:sz w:val="32"/>
          <w:szCs w:val="32"/>
          <w:highlight w:val="none"/>
        </w:rPr>
        <w:t>加强法治政府建设</w:t>
      </w:r>
    </w:p>
    <w:p w14:paraId="6389B676">
      <w:pPr>
        <w:keepNext w:val="0"/>
        <w:keepLines w:val="0"/>
        <w:pageBreakBefore w:val="0"/>
        <w:widowControl w:val="0"/>
        <w:kinsoku/>
        <w:wordWrap/>
        <w:overflowPunct/>
        <w:topLinePunct w:val="0"/>
        <w:autoSpaceDE/>
        <w:autoSpaceDN/>
        <w:bidi w:val="0"/>
        <w:adjustRightInd w:val="0"/>
        <w:snapToGrid w:val="0"/>
        <w:spacing w:line="560" w:lineRule="exact"/>
        <w:ind w:firstLine="616" w:firstLineChars="200"/>
        <w:jc w:val="both"/>
        <w:textAlignment w:val="auto"/>
        <w:rPr>
          <w:rFonts w:hint="eastAsia" w:ascii="仿宋" w:hAnsi="仿宋" w:eastAsia="仿宋" w:cs="仿宋"/>
          <w:color w:val="auto"/>
          <w:sz w:val="32"/>
          <w:szCs w:val="32"/>
          <w:highlight w:val="none"/>
          <w:lang w:eastAsia="zh-CN"/>
        </w:rPr>
      </w:pPr>
      <w:r>
        <w:rPr>
          <w:rFonts w:hint="eastAsia" w:ascii="仿宋" w:hAnsi="仿宋" w:eastAsia="仿宋" w:cs="仿宋"/>
          <w:b/>
          <w:bCs/>
          <w:color w:val="auto"/>
          <w:sz w:val="32"/>
          <w:szCs w:val="32"/>
          <w:highlight w:val="none"/>
          <w:lang w:val="en-US" w:eastAsia="zh-CN"/>
        </w:rPr>
        <w:t>1.</w:t>
      </w:r>
      <w:r>
        <w:rPr>
          <w:rFonts w:hint="eastAsia" w:ascii="仿宋" w:hAnsi="仿宋" w:eastAsia="仿宋" w:cs="仿宋"/>
          <w:b/>
          <w:bCs/>
          <w:color w:val="auto"/>
          <w:sz w:val="32"/>
          <w:szCs w:val="32"/>
          <w:highlight w:val="none"/>
          <w:lang w:eastAsia="zh-CN"/>
        </w:rPr>
        <w:t>深化法治思想学习。</w:t>
      </w:r>
      <w:r>
        <w:rPr>
          <w:rFonts w:hint="eastAsia" w:ascii="仿宋" w:hAnsi="仿宋" w:eastAsia="仿宋" w:cs="仿宋"/>
          <w:color w:val="auto"/>
          <w:sz w:val="32"/>
          <w:szCs w:val="32"/>
          <w:highlight w:val="none"/>
          <w:lang w:eastAsia="zh-CN"/>
        </w:rPr>
        <w:t>将习近平法治思想列为局党组会议常设议题和理论学习中心组学习计划内容，并纳入领导干部年度学习安排，通过“线上+线下”方式系统深入学习。2025年度，领导干部学法考试的参考率与优秀率均达到100%，实现领导干部学法全覆盖，学法成效显著。</w:t>
      </w:r>
    </w:p>
    <w:p w14:paraId="607935EB">
      <w:pPr>
        <w:keepNext w:val="0"/>
        <w:keepLines w:val="0"/>
        <w:pageBreakBefore w:val="0"/>
        <w:widowControl w:val="0"/>
        <w:kinsoku/>
        <w:wordWrap/>
        <w:overflowPunct/>
        <w:topLinePunct w:val="0"/>
        <w:autoSpaceDE/>
        <w:autoSpaceDN/>
        <w:bidi w:val="0"/>
        <w:adjustRightInd w:val="0"/>
        <w:snapToGrid w:val="0"/>
        <w:spacing w:line="560" w:lineRule="exact"/>
        <w:ind w:firstLine="616" w:firstLineChars="200"/>
        <w:jc w:val="both"/>
        <w:textAlignment w:val="auto"/>
        <w:rPr>
          <w:rFonts w:hint="eastAsia" w:ascii="仿宋" w:hAnsi="仿宋" w:eastAsia="仿宋" w:cs="仿宋"/>
          <w:color w:val="auto"/>
          <w:sz w:val="32"/>
          <w:szCs w:val="32"/>
          <w:highlight w:val="none"/>
          <w:lang w:eastAsia="zh-CN"/>
        </w:rPr>
      </w:pPr>
      <w:r>
        <w:rPr>
          <w:rFonts w:hint="eastAsia" w:ascii="仿宋" w:hAnsi="仿宋" w:eastAsia="仿宋" w:cs="仿宋"/>
          <w:b/>
          <w:bCs/>
          <w:color w:val="auto"/>
          <w:sz w:val="32"/>
          <w:szCs w:val="32"/>
          <w:highlight w:val="none"/>
          <w:lang w:val="en-US" w:eastAsia="zh-CN"/>
        </w:rPr>
        <w:t>2.</w:t>
      </w:r>
      <w:r>
        <w:rPr>
          <w:rFonts w:hint="eastAsia" w:ascii="仿宋" w:hAnsi="仿宋" w:eastAsia="仿宋" w:cs="仿宋"/>
          <w:b/>
          <w:bCs/>
          <w:color w:val="auto"/>
          <w:sz w:val="32"/>
          <w:szCs w:val="32"/>
          <w:highlight w:val="none"/>
          <w:lang w:eastAsia="zh-CN"/>
        </w:rPr>
        <w:t>规范执法与强化监管并重</w:t>
      </w:r>
      <w:r>
        <w:rPr>
          <w:rFonts w:hint="eastAsia" w:ascii="仿宋" w:hAnsi="仿宋" w:eastAsia="仿宋" w:cs="仿宋"/>
          <w:color w:val="auto"/>
          <w:sz w:val="32"/>
          <w:szCs w:val="32"/>
          <w:highlight w:val="none"/>
          <w:lang w:eastAsia="zh-CN"/>
        </w:rPr>
        <w:t>。严格执行行政执法“三项制度”，并通过“信用阳江”及省行政执法信息公示平台及时公开执法信息，积极组织执法人员参加各类培训考试，持续法律素养与执法能力。同时</w:t>
      </w:r>
      <w:r>
        <w:rPr>
          <w:rFonts w:hint="eastAsia" w:ascii="仿宋" w:hAnsi="仿宋" w:eastAsia="仿宋" w:cs="仿宋"/>
          <w:color w:val="auto"/>
          <w:sz w:val="32"/>
          <w:szCs w:val="32"/>
          <w:highlight w:val="none"/>
          <w:lang w:val="en-US" w:eastAsia="zh-CN"/>
        </w:rPr>
        <w:t>通过张贴海报、电子屏播放标语、</w:t>
      </w:r>
      <w:r>
        <w:rPr>
          <w:rFonts w:hint="eastAsia" w:ascii="仿宋" w:hAnsi="仿宋" w:eastAsia="仿宋" w:cs="仿宋"/>
          <w:color w:val="auto"/>
          <w:sz w:val="32"/>
          <w:szCs w:val="32"/>
          <w:highlight w:val="none"/>
          <w:lang w:eastAsia="zh-CN"/>
        </w:rPr>
        <w:t>官方公众号推送等多种形式开展基层普法宣传。</w:t>
      </w:r>
    </w:p>
    <w:p w14:paraId="7B50C120">
      <w:pPr>
        <w:keepNext w:val="0"/>
        <w:keepLines w:val="0"/>
        <w:pageBreakBefore w:val="0"/>
        <w:kinsoku/>
        <w:wordWrap/>
        <w:overflowPunct/>
        <w:topLinePunct w:val="0"/>
        <w:autoSpaceDE/>
        <w:autoSpaceDN/>
        <w:bidi w:val="0"/>
        <w:adjustRightInd w:val="0"/>
        <w:snapToGrid w:val="0"/>
        <w:spacing w:line="560" w:lineRule="exact"/>
        <w:ind w:firstLine="616" w:firstLineChars="200"/>
        <w:textAlignment w:val="auto"/>
        <w:rPr>
          <w:rFonts w:hint="eastAsia" w:ascii="楷体" w:hAnsi="楷体" w:eastAsia="楷体" w:cs="楷体"/>
          <w:color w:val="auto"/>
          <w:sz w:val="32"/>
          <w:szCs w:val="32"/>
          <w:highlight w:val="none"/>
          <w:lang w:eastAsia="zh-CN"/>
        </w:rPr>
      </w:pPr>
      <w:r>
        <w:rPr>
          <w:rFonts w:hint="eastAsia" w:ascii="楷体" w:hAnsi="楷体" w:eastAsia="楷体" w:cs="楷体"/>
          <w:color w:val="auto"/>
          <w:sz w:val="32"/>
          <w:szCs w:val="32"/>
          <w:highlight w:val="none"/>
        </w:rPr>
        <w:t>（</w:t>
      </w:r>
      <w:r>
        <w:rPr>
          <w:rFonts w:hint="eastAsia" w:ascii="楷体" w:hAnsi="楷体" w:eastAsia="楷体" w:cs="楷体"/>
          <w:color w:val="auto"/>
          <w:sz w:val="32"/>
          <w:szCs w:val="32"/>
          <w:highlight w:val="none"/>
          <w:lang w:eastAsia="zh-CN"/>
        </w:rPr>
        <w:t>三</w:t>
      </w:r>
      <w:r>
        <w:rPr>
          <w:rFonts w:hint="eastAsia" w:ascii="楷体" w:hAnsi="楷体" w:eastAsia="楷体" w:cs="楷体"/>
          <w:color w:val="auto"/>
          <w:sz w:val="32"/>
          <w:szCs w:val="32"/>
          <w:highlight w:val="none"/>
        </w:rPr>
        <w:t>）农文旅融合纵深推进，产业发展提质升级</w:t>
      </w:r>
    </w:p>
    <w:p w14:paraId="157C7B53">
      <w:pPr>
        <w:keepNext w:val="0"/>
        <w:keepLines w:val="0"/>
        <w:pageBreakBefore w:val="0"/>
        <w:numPr>
          <w:ilvl w:val="0"/>
          <w:numId w:val="0"/>
        </w:numPr>
        <w:wordWrap/>
        <w:overflowPunct/>
        <w:topLinePunct w:val="0"/>
        <w:bidi w:val="0"/>
        <w:adjustRightInd w:val="0"/>
        <w:snapToGrid w:val="0"/>
        <w:spacing w:line="560" w:lineRule="exact"/>
        <w:ind w:firstLine="616" w:firstLineChars="200"/>
        <w:rPr>
          <w:rFonts w:hint="eastAsia" w:ascii="仿宋" w:hAnsi="仿宋" w:eastAsia="仿宋" w:cs="仿宋"/>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1.</w:t>
      </w:r>
      <w:r>
        <w:rPr>
          <w:rFonts w:hint="eastAsia" w:ascii="仿宋_GB2312" w:hAnsi="仿宋_GB2312" w:eastAsia="仿宋_GB2312" w:cs="仿宋_GB2312"/>
          <w:b/>
          <w:bCs/>
          <w:color w:val="auto"/>
          <w:sz w:val="32"/>
          <w:szCs w:val="32"/>
          <w:highlight w:val="none"/>
        </w:rPr>
        <w:t>推动重点项目建设与产业融合</w:t>
      </w:r>
      <w:r>
        <w:rPr>
          <w:rFonts w:hint="eastAsia" w:ascii="仿宋_GB2312" w:hAnsi="仿宋_GB2312" w:eastAsia="仿宋_GB2312" w:cs="仿宋_GB2312"/>
          <w:color w:val="auto"/>
          <w:sz w:val="32"/>
          <w:szCs w:val="32"/>
          <w:highlight w:val="none"/>
        </w:rPr>
        <w:t>。</w:t>
      </w:r>
      <w:r>
        <w:rPr>
          <w:rFonts w:hint="eastAsia" w:ascii="仿宋" w:hAnsi="仿宋" w:eastAsia="仿宋" w:cs="仿宋"/>
          <w:color w:val="auto"/>
          <w:sz w:val="32"/>
          <w:szCs w:val="32"/>
          <w:highlight w:val="none"/>
          <w:lang w:eastAsia="zh-CN"/>
        </w:rPr>
        <w:t>2025年6月我县成功入选为第二批广东省整县农文旅融合发展试点，强化规划引领，构建“一江三核三带”布局，统筹98个重点项目、总投资187.2亿元，形成“规划引领、项目支撑、全域联动”的系统化推进机制。</w:t>
      </w:r>
      <w:r>
        <w:rPr>
          <w:rFonts w:hint="eastAsia" w:ascii="仿宋" w:hAnsi="仿宋" w:eastAsia="仿宋" w:cs="仿宋"/>
          <w:b/>
          <w:bCs/>
          <w:color w:val="auto"/>
          <w:sz w:val="32"/>
          <w:szCs w:val="32"/>
          <w:highlight w:val="none"/>
          <w:lang w:eastAsia="zh-CN"/>
        </w:rPr>
        <w:t>一是</w:t>
      </w:r>
      <w:r>
        <w:rPr>
          <w:rFonts w:hint="eastAsia" w:ascii="仿宋" w:hAnsi="仿宋" w:eastAsia="仿宋" w:cs="仿宋"/>
          <w:color w:val="auto"/>
          <w:sz w:val="32"/>
          <w:szCs w:val="32"/>
          <w:highlight w:val="none"/>
          <w:lang w:eastAsia="zh-CN"/>
        </w:rPr>
        <w:t>文旅产业能级持续提升。紧紧围绕“百千万工程”和整县推进农文旅融合发展试点建设，推动农文旅资源串珠成链，发展取得新成效。目前</w:t>
      </w:r>
      <w:r>
        <w:rPr>
          <w:rFonts w:hint="eastAsia" w:ascii="仿宋" w:hAnsi="仿宋" w:eastAsia="仿宋" w:cs="仿宋"/>
          <w:color w:val="auto"/>
          <w:sz w:val="32"/>
          <w:szCs w:val="32"/>
          <w:highlight w:val="none"/>
          <w:lang w:val="en-US" w:eastAsia="zh-CN"/>
        </w:rPr>
        <w:t>全县</w:t>
      </w:r>
      <w:r>
        <w:rPr>
          <w:rFonts w:hint="eastAsia" w:ascii="仿宋" w:hAnsi="仿宋" w:eastAsia="仿宋" w:cs="仿宋"/>
          <w:color w:val="auto"/>
          <w:sz w:val="32"/>
          <w:szCs w:val="32"/>
          <w:highlight w:val="none"/>
          <w:lang w:eastAsia="zh-CN"/>
        </w:rPr>
        <w:t>建成</w:t>
      </w:r>
      <w:r>
        <w:rPr>
          <w:rFonts w:hint="eastAsia" w:ascii="仿宋" w:hAnsi="仿宋" w:eastAsia="仿宋" w:cs="仿宋"/>
          <w:color w:val="auto"/>
          <w:sz w:val="32"/>
          <w:szCs w:val="32"/>
          <w:highlight w:val="none"/>
          <w:lang w:val="en-US" w:eastAsia="zh-CN"/>
        </w:rPr>
        <w:t>1个国家4</w:t>
      </w:r>
      <w:r>
        <w:rPr>
          <w:rFonts w:hint="eastAsia" w:ascii="仿宋" w:hAnsi="仿宋" w:eastAsia="仿宋" w:cs="仿宋"/>
          <w:color w:val="auto"/>
          <w:sz w:val="32"/>
          <w:szCs w:val="32"/>
          <w:highlight w:val="none"/>
          <w:lang w:eastAsia="zh-CN"/>
        </w:rPr>
        <w:t>A级景区，</w:t>
      </w:r>
      <w:r>
        <w:rPr>
          <w:rFonts w:hint="eastAsia" w:ascii="仿宋" w:hAnsi="仿宋" w:eastAsia="仿宋" w:cs="仿宋"/>
          <w:color w:val="auto"/>
          <w:sz w:val="32"/>
          <w:szCs w:val="32"/>
          <w:highlight w:val="none"/>
          <w:lang w:val="en-US" w:eastAsia="zh-CN"/>
        </w:rPr>
        <w:t>6</w:t>
      </w:r>
      <w:r>
        <w:rPr>
          <w:rFonts w:hint="eastAsia" w:ascii="仿宋" w:hAnsi="仿宋" w:eastAsia="仿宋" w:cs="仿宋"/>
          <w:color w:val="auto"/>
          <w:sz w:val="32"/>
          <w:szCs w:val="32"/>
          <w:highlight w:val="none"/>
          <w:lang w:eastAsia="zh-CN"/>
        </w:rPr>
        <w:t>个国家3A级景区、</w:t>
      </w:r>
      <w:r>
        <w:rPr>
          <w:rFonts w:hint="eastAsia" w:ascii="仿宋" w:hAnsi="仿宋" w:eastAsia="仿宋" w:cs="仿宋"/>
          <w:color w:val="auto"/>
          <w:sz w:val="32"/>
          <w:szCs w:val="32"/>
          <w:highlight w:val="none"/>
          <w:lang w:val="en-US" w:eastAsia="zh-CN"/>
        </w:rPr>
        <w:t>6</w:t>
      </w:r>
      <w:r>
        <w:rPr>
          <w:rFonts w:hint="eastAsia" w:ascii="仿宋" w:hAnsi="仿宋" w:eastAsia="仿宋" w:cs="仿宋"/>
          <w:color w:val="auto"/>
          <w:sz w:val="32"/>
          <w:szCs w:val="32"/>
          <w:highlight w:val="none"/>
          <w:lang w:eastAsia="zh-CN"/>
        </w:rPr>
        <w:t>个省级文化和旅游特色镇村、</w:t>
      </w:r>
      <w:r>
        <w:rPr>
          <w:rFonts w:hint="eastAsia" w:ascii="仿宋" w:hAnsi="仿宋" w:eastAsia="仿宋" w:cs="仿宋"/>
          <w:color w:val="auto"/>
          <w:sz w:val="32"/>
          <w:szCs w:val="32"/>
          <w:highlight w:val="none"/>
          <w:lang w:val="en-US" w:eastAsia="zh-CN"/>
        </w:rPr>
        <w:t>7</w:t>
      </w:r>
      <w:r>
        <w:rPr>
          <w:rFonts w:hint="eastAsia" w:ascii="仿宋" w:hAnsi="仿宋" w:eastAsia="仿宋" w:cs="仿宋"/>
          <w:color w:val="auto"/>
          <w:sz w:val="32"/>
          <w:szCs w:val="32"/>
          <w:highlight w:val="none"/>
          <w:lang w:eastAsia="zh-CN"/>
        </w:rPr>
        <w:t>条国家和省级精品旅游线路，乡村酒店、</w:t>
      </w:r>
      <w:r>
        <w:rPr>
          <w:rFonts w:hint="eastAsia" w:ascii="仿宋" w:hAnsi="仿宋" w:eastAsia="仿宋" w:cs="仿宋"/>
          <w:color w:val="auto"/>
          <w:sz w:val="32"/>
          <w:szCs w:val="32"/>
          <w:highlight w:val="none"/>
          <w:lang w:val="en-US" w:eastAsia="zh-CN"/>
        </w:rPr>
        <w:t>民宿登记36家。</w:t>
      </w:r>
      <w:r>
        <w:rPr>
          <w:rFonts w:hint="eastAsia" w:ascii="仿宋" w:hAnsi="仿宋" w:eastAsia="仿宋" w:cs="仿宋"/>
          <w:b/>
          <w:bCs/>
          <w:color w:val="auto"/>
          <w:sz w:val="32"/>
          <w:szCs w:val="32"/>
          <w:highlight w:val="none"/>
          <w:lang w:val="en-US" w:eastAsia="zh-CN"/>
        </w:rPr>
        <w:t>二是</w:t>
      </w:r>
      <w:r>
        <w:rPr>
          <w:rFonts w:hint="eastAsia" w:ascii="仿宋" w:hAnsi="仿宋" w:eastAsia="仿宋" w:cs="仿宋"/>
          <w:color w:val="auto"/>
          <w:sz w:val="32"/>
          <w:szCs w:val="32"/>
          <w:highlight w:val="none"/>
          <w:lang w:val="en-US" w:eastAsia="zh-CN"/>
        </w:rPr>
        <w:t>文旅项目取得新进展。建成</w:t>
      </w:r>
      <w:r>
        <w:rPr>
          <w:rFonts w:hint="eastAsia" w:ascii="仿宋" w:hAnsi="仿宋" w:eastAsia="仿宋" w:cs="仿宋"/>
          <w:color w:val="auto"/>
          <w:sz w:val="32"/>
          <w:szCs w:val="32"/>
          <w:highlight w:val="none"/>
          <w:lang w:eastAsia="zh-CN"/>
        </w:rPr>
        <w:t>新墟东水竹里旅居度假区、</w:t>
      </w:r>
      <w:r>
        <w:rPr>
          <w:rFonts w:hint="eastAsia" w:ascii="仿宋" w:hAnsi="仿宋" w:eastAsia="仿宋" w:cs="仿宋"/>
          <w:color w:val="auto"/>
          <w:sz w:val="32"/>
          <w:szCs w:val="32"/>
          <w:highlight w:val="none"/>
          <w:lang w:val="en-US" w:eastAsia="zh-CN"/>
        </w:rPr>
        <w:t>程村“红林鹭影”观景平台、</w:t>
      </w:r>
      <w:r>
        <w:rPr>
          <w:rFonts w:hint="eastAsia" w:ascii="仿宋" w:hAnsi="仿宋" w:eastAsia="仿宋" w:cs="仿宋"/>
          <w:color w:val="auto"/>
          <w:sz w:val="32"/>
          <w:szCs w:val="32"/>
          <w:highlight w:val="none"/>
          <w:lang w:eastAsia="zh-CN"/>
        </w:rPr>
        <w:t>沙扒前海湾太空舱、</w:t>
      </w:r>
      <w:r>
        <w:rPr>
          <w:rFonts w:hint="eastAsia" w:ascii="仿宋" w:hAnsi="仿宋" w:eastAsia="仿宋" w:cs="仿宋"/>
          <w:color w:val="auto"/>
          <w:sz w:val="32"/>
          <w:szCs w:val="32"/>
          <w:highlight w:val="none"/>
          <w:lang w:val="en-US" w:eastAsia="zh-CN"/>
        </w:rPr>
        <w:t>嫦娥岭观海驿站</w:t>
      </w:r>
      <w:r>
        <w:rPr>
          <w:rFonts w:hint="eastAsia" w:ascii="仿宋" w:hAnsi="仿宋" w:eastAsia="仿宋" w:cs="仿宋"/>
          <w:color w:val="auto"/>
          <w:sz w:val="32"/>
          <w:szCs w:val="32"/>
          <w:highlight w:val="none"/>
          <w:lang w:eastAsia="zh-CN"/>
        </w:rPr>
        <w:t>等一批文旅项目，成功培育“程村蚝乡”“沙扒滨海”“东水茶旅”等特色</w:t>
      </w:r>
      <w:r>
        <w:rPr>
          <w:rFonts w:hint="eastAsia" w:ascii="仿宋" w:hAnsi="仿宋" w:eastAsia="仿宋" w:cs="仿宋"/>
          <w:color w:val="auto"/>
          <w:sz w:val="32"/>
          <w:szCs w:val="32"/>
          <w:highlight w:val="none"/>
          <w:lang w:val="en-US" w:eastAsia="zh-CN"/>
        </w:rPr>
        <w:t>IP。同步推进阳西竹溪森林度假村和东水山森林文旅等重大项目建设，打造集休闲农业体验、康养度假服务于一体的综合性旅游集群；积极推动阳西县丹江老城片区旧圩街保护利用，实施旧圩街（一期）项目，打造综合性历史文化街区。</w:t>
      </w:r>
    </w:p>
    <w:p w14:paraId="4916D1F0">
      <w:pPr>
        <w:keepNext w:val="0"/>
        <w:keepLines w:val="0"/>
        <w:pageBreakBefore w:val="0"/>
        <w:numPr>
          <w:ilvl w:val="0"/>
          <w:numId w:val="0"/>
        </w:numPr>
        <w:wordWrap/>
        <w:overflowPunct/>
        <w:topLinePunct w:val="0"/>
        <w:bidi w:val="0"/>
        <w:adjustRightInd w:val="0"/>
        <w:snapToGrid w:val="0"/>
        <w:spacing w:line="560" w:lineRule="exact"/>
        <w:ind w:firstLine="616" w:firstLineChars="200"/>
        <w:rPr>
          <w:rFonts w:hint="eastAsia" w:ascii="仿宋" w:hAnsi="仿宋" w:eastAsia="仿宋" w:cs="仿宋"/>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2.激发市场主体活力与释放消费潜力。一是</w:t>
      </w:r>
      <w:r>
        <w:rPr>
          <w:rFonts w:hint="eastAsia" w:ascii="仿宋" w:hAnsi="仿宋" w:eastAsia="仿宋" w:cs="仿宋"/>
          <w:color w:val="auto"/>
          <w:sz w:val="32"/>
          <w:szCs w:val="32"/>
          <w:highlight w:val="none"/>
          <w:lang w:val="en-US" w:eastAsia="zh-CN"/>
        </w:rPr>
        <w:t>文创消费与旅游市场双向繁荣。深度开发具有本土渔家文化特色的徽章、书签、渔家笠帽、贝壳工艺制品等文创产品，沙扒手打墨鱼饼、程村蚝豉蚝油等“非遗”特色手信购销两旺，市场反响热烈。2025年“五一”假期，接待游客38.76万人次，实现旅游收入2.5亿元，同比分别大幅增长125%和205%；国庆中秋假期接待游客57.71万人次，旅游收入达5.4亿元，游客量同比增长18%，展现强劲市场韧性。</w:t>
      </w:r>
      <w:r>
        <w:rPr>
          <w:rFonts w:hint="eastAsia" w:ascii="仿宋" w:hAnsi="仿宋" w:eastAsia="仿宋" w:cs="仿宋"/>
          <w:b/>
          <w:bCs/>
          <w:color w:val="auto"/>
          <w:sz w:val="32"/>
          <w:szCs w:val="32"/>
          <w:highlight w:val="none"/>
          <w:lang w:val="en-US" w:eastAsia="zh-CN"/>
        </w:rPr>
        <w:t>二是</w:t>
      </w:r>
      <w:r>
        <w:rPr>
          <w:rFonts w:hint="eastAsia" w:ascii="仿宋" w:hAnsi="仿宋" w:eastAsia="仿宋" w:cs="仿宋"/>
          <w:color w:val="auto"/>
          <w:sz w:val="32"/>
          <w:szCs w:val="32"/>
          <w:highlight w:val="none"/>
          <w:lang w:val="en-US" w:eastAsia="zh-CN"/>
        </w:rPr>
        <w:t>示范引领带动全域发展。坚持“试点先行、典型引路”，成功培育“程村蚝乡”“沙扒滨海”“东水茶旅”等特色IP。以程村镇红光村为典范，通过整合蚝产业、红树林生态等资源，引入专业运营团队，打造特色民宿、主题餐饮等业态，实现了从“脏乱差”到网红打卡地的蜕变，预计2025年红光村旅游人数和收入均为2022年的20倍以上。全镇“蚝经济”全链条升温，蚝豉经销商销售额倍增，为全县农文旅发展注入持续动力。</w:t>
      </w:r>
    </w:p>
    <w:p w14:paraId="6DC70CA6">
      <w:pPr>
        <w:keepNext w:val="0"/>
        <w:keepLines w:val="0"/>
        <w:pageBreakBefore w:val="0"/>
        <w:kinsoku/>
        <w:wordWrap/>
        <w:overflowPunct/>
        <w:topLinePunct w:val="0"/>
        <w:autoSpaceDE/>
        <w:autoSpaceDN/>
        <w:bidi w:val="0"/>
        <w:adjustRightInd w:val="0"/>
        <w:snapToGrid w:val="0"/>
        <w:spacing w:line="560" w:lineRule="exact"/>
        <w:ind w:firstLine="616" w:firstLineChars="200"/>
        <w:textAlignment w:val="auto"/>
        <w:rPr>
          <w:rFonts w:hint="eastAsia" w:ascii="楷体" w:hAnsi="楷体" w:eastAsia="楷体" w:cs="楷体"/>
          <w:color w:val="auto"/>
          <w:sz w:val="32"/>
          <w:szCs w:val="32"/>
          <w:highlight w:val="none"/>
          <w:lang w:eastAsia="zh-CN"/>
        </w:rPr>
      </w:pPr>
      <w:r>
        <w:rPr>
          <w:rFonts w:hint="eastAsia" w:ascii="楷体" w:hAnsi="楷体" w:eastAsia="楷体" w:cs="楷体"/>
          <w:color w:val="auto"/>
          <w:sz w:val="32"/>
          <w:szCs w:val="32"/>
          <w:highlight w:val="none"/>
        </w:rPr>
        <w:t>（</w:t>
      </w:r>
      <w:r>
        <w:rPr>
          <w:rFonts w:hint="eastAsia" w:ascii="楷体" w:hAnsi="楷体" w:eastAsia="楷体" w:cs="楷体"/>
          <w:color w:val="auto"/>
          <w:sz w:val="32"/>
          <w:szCs w:val="32"/>
          <w:highlight w:val="none"/>
          <w:lang w:eastAsia="zh-CN"/>
        </w:rPr>
        <w:t>四</w:t>
      </w:r>
      <w:r>
        <w:rPr>
          <w:rFonts w:hint="eastAsia" w:ascii="楷体" w:hAnsi="楷体" w:eastAsia="楷体" w:cs="楷体"/>
          <w:color w:val="auto"/>
          <w:sz w:val="32"/>
          <w:szCs w:val="32"/>
          <w:highlight w:val="none"/>
        </w:rPr>
        <w:t>）公共服务提质增效，文化惠民深入人心</w:t>
      </w:r>
    </w:p>
    <w:p w14:paraId="6C7CF9F1">
      <w:pPr>
        <w:keepNext w:val="0"/>
        <w:keepLines w:val="0"/>
        <w:pageBreakBefore w:val="0"/>
        <w:numPr>
          <w:ilvl w:val="0"/>
          <w:numId w:val="0"/>
        </w:numPr>
        <w:wordWrap/>
        <w:overflowPunct/>
        <w:topLinePunct w:val="0"/>
        <w:bidi w:val="0"/>
        <w:adjustRightInd w:val="0"/>
        <w:snapToGrid w:val="0"/>
        <w:spacing w:line="560" w:lineRule="exact"/>
        <w:ind w:firstLine="616" w:firstLineChars="20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w:t>
      </w:r>
      <w:r>
        <w:rPr>
          <w:rFonts w:hint="eastAsia" w:ascii="仿宋" w:hAnsi="仿宋" w:eastAsia="仿宋" w:cs="仿宋"/>
          <w:b/>
          <w:bCs/>
          <w:color w:val="auto"/>
          <w:sz w:val="32"/>
          <w:szCs w:val="32"/>
          <w:highlight w:val="none"/>
          <w:lang w:val="en-US" w:eastAsia="zh-CN"/>
        </w:rPr>
        <w:t>文化服务设施网络持续完善。一是</w:t>
      </w:r>
      <w:r>
        <w:rPr>
          <w:rFonts w:hint="eastAsia" w:ascii="仿宋" w:hAnsi="仿宋" w:eastAsia="仿宋" w:cs="仿宋"/>
          <w:color w:val="auto"/>
          <w:sz w:val="32"/>
          <w:szCs w:val="32"/>
          <w:highlight w:val="none"/>
          <w:lang w:val="en-US" w:eastAsia="zh-CN"/>
        </w:rPr>
        <w:t>文化设施提质增效。县实施村（社区）综合性文化服务中心提质项目，投入120万元完成19个村（社区）综合性文化服务中心的提质增效，建成沙扒镇文化站、程村镇红光村2个乡村公共文化新空间。推动自助图书馆（站）项目建设，购置8台自助借还书机、8个自助升降式还书箱，配备约46000枚RFID标签，新增图书约7000册，深化智能化网络服务，推动优质文化资源直达基层，提升基层公共文化服务能力。</w:t>
      </w:r>
      <w:r>
        <w:rPr>
          <w:rFonts w:hint="eastAsia" w:ascii="仿宋" w:hAnsi="仿宋" w:eastAsia="仿宋" w:cs="仿宋"/>
          <w:b/>
          <w:bCs/>
          <w:color w:val="auto"/>
          <w:sz w:val="32"/>
          <w:szCs w:val="32"/>
          <w:highlight w:val="none"/>
          <w:lang w:val="en-US" w:eastAsia="zh-CN"/>
        </w:rPr>
        <w:t>二是</w:t>
      </w:r>
      <w:r>
        <w:rPr>
          <w:rFonts w:hint="eastAsia" w:ascii="仿宋" w:hAnsi="仿宋" w:eastAsia="仿宋" w:cs="仿宋"/>
          <w:color w:val="auto"/>
          <w:sz w:val="32"/>
          <w:szCs w:val="32"/>
          <w:highlight w:val="none"/>
          <w:lang w:val="en-US" w:eastAsia="zh-CN"/>
        </w:rPr>
        <w:t>免费开放服务效能提升。严格落实“两馆一站”免费开放政策，2025年“三馆”累计开展培训280余场次，举办展览48场、各类文化活动80场，线上线下各类活动总服务人次逾78万，扩大文化服务辐射效能。</w:t>
      </w:r>
    </w:p>
    <w:p w14:paraId="6AD3B56F">
      <w:pPr>
        <w:keepNext w:val="0"/>
        <w:keepLines w:val="0"/>
        <w:pageBreakBefore w:val="0"/>
        <w:kinsoku/>
        <w:wordWrap/>
        <w:overflowPunct/>
        <w:topLinePunct w:val="0"/>
        <w:autoSpaceDE/>
        <w:autoSpaceDN/>
        <w:bidi w:val="0"/>
        <w:adjustRightInd w:val="0"/>
        <w:snapToGrid w:val="0"/>
        <w:spacing w:line="560" w:lineRule="exact"/>
        <w:ind w:firstLine="616" w:firstLineChars="200"/>
        <w:textAlignment w:val="auto"/>
        <w:rPr>
          <w:rFonts w:hint="eastAsia" w:ascii="仿宋" w:hAnsi="仿宋" w:eastAsia="仿宋" w:cs="仿宋"/>
          <w:color w:val="auto"/>
          <w:sz w:val="32"/>
          <w:szCs w:val="32"/>
          <w:highlight w:val="none"/>
        </w:rPr>
      </w:pPr>
      <w:r>
        <w:rPr>
          <w:rFonts w:hint="eastAsia" w:ascii="仿宋" w:hAnsi="仿宋" w:eastAsia="仿宋" w:cs="仿宋"/>
          <w:b/>
          <w:bCs/>
          <w:color w:val="auto"/>
          <w:sz w:val="32"/>
          <w:szCs w:val="32"/>
          <w:highlight w:val="none"/>
          <w:lang w:val="en-US" w:eastAsia="zh-CN"/>
        </w:rPr>
        <w:t>2.</w:t>
      </w:r>
      <w:r>
        <w:rPr>
          <w:rFonts w:hint="eastAsia" w:ascii="仿宋" w:hAnsi="仿宋" w:eastAsia="仿宋" w:cs="仿宋"/>
          <w:b/>
          <w:bCs/>
          <w:color w:val="auto"/>
          <w:sz w:val="32"/>
          <w:szCs w:val="32"/>
          <w:highlight w:val="none"/>
        </w:rPr>
        <w:t>文艺创作与人才培养初见成效</w:t>
      </w:r>
      <w:r>
        <w:rPr>
          <w:rFonts w:hint="eastAsia" w:ascii="仿宋" w:hAnsi="仿宋" w:eastAsia="仿宋" w:cs="仿宋"/>
          <w:b/>
          <w:bCs/>
          <w:color w:val="auto"/>
          <w:sz w:val="32"/>
          <w:szCs w:val="32"/>
          <w:highlight w:val="none"/>
          <w:lang w:eastAsia="zh-CN"/>
        </w:rPr>
        <w:t>。</w:t>
      </w:r>
      <w:r>
        <w:rPr>
          <w:rFonts w:hint="eastAsia" w:ascii="仿宋" w:hAnsi="仿宋" w:eastAsia="仿宋" w:cs="仿宋"/>
          <w:b/>
          <w:bCs/>
          <w:color w:val="auto"/>
          <w:sz w:val="32"/>
          <w:szCs w:val="32"/>
          <w:highlight w:val="none"/>
        </w:rPr>
        <w:t>一是</w:t>
      </w:r>
      <w:r>
        <w:rPr>
          <w:rFonts w:hint="eastAsia" w:ascii="仿宋" w:hAnsi="仿宋" w:eastAsia="仿宋" w:cs="仿宋"/>
          <w:color w:val="auto"/>
          <w:sz w:val="32"/>
          <w:szCs w:val="32"/>
          <w:highlight w:val="none"/>
        </w:rPr>
        <w:t>创作成果喜获省级荣誉。组织举办群众文艺创作培训班，搭建广阔的艺术人才交流平台</w:t>
      </w:r>
      <w:r>
        <w:rPr>
          <w:rFonts w:hint="eastAsia" w:ascii="仿宋" w:hAnsi="仿宋" w:eastAsia="仿宋" w:cs="仿宋"/>
          <w:color w:val="auto"/>
          <w:sz w:val="32"/>
          <w:szCs w:val="32"/>
          <w:highlight w:val="none"/>
          <w:lang w:eastAsia="zh-CN"/>
        </w:rPr>
        <w:t>。其中</w:t>
      </w:r>
      <w:r>
        <w:rPr>
          <w:rFonts w:hint="eastAsia" w:ascii="仿宋" w:hAnsi="仿宋" w:eastAsia="仿宋" w:cs="仿宋"/>
          <w:color w:val="auto"/>
          <w:sz w:val="32"/>
          <w:szCs w:val="32"/>
          <w:highlight w:val="none"/>
        </w:rPr>
        <w:t>小品《局长回乡记》荣获2024年全省群众文艺作品评选一等奖，群众文艺创作水平实现新突破。</w:t>
      </w:r>
      <w:r>
        <w:rPr>
          <w:rFonts w:hint="eastAsia" w:ascii="仿宋" w:hAnsi="仿宋" w:eastAsia="仿宋" w:cs="仿宋"/>
          <w:b/>
          <w:bCs/>
          <w:color w:val="auto"/>
          <w:sz w:val="32"/>
          <w:szCs w:val="32"/>
          <w:highlight w:val="none"/>
          <w:lang w:eastAsia="zh-CN"/>
        </w:rPr>
        <w:t>二是</w:t>
      </w:r>
      <w:r>
        <w:rPr>
          <w:rFonts w:hint="eastAsia" w:ascii="仿宋" w:hAnsi="仿宋" w:eastAsia="仿宋" w:cs="仿宋"/>
          <w:color w:val="auto"/>
          <w:sz w:val="32"/>
          <w:szCs w:val="32"/>
          <w:highlight w:val="none"/>
        </w:rPr>
        <w:t>人才队伍建设持续加强。</w:t>
      </w:r>
      <w:r>
        <w:rPr>
          <w:rFonts w:hint="eastAsia" w:ascii="仿宋" w:hAnsi="仿宋" w:eastAsia="仿宋" w:cs="仿宋"/>
          <w:color w:val="auto"/>
          <w:sz w:val="32"/>
          <w:szCs w:val="32"/>
          <w:highlight w:val="none"/>
          <w:lang w:eastAsia="zh-CN"/>
        </w:rPr>
        <w:t>县图书馆馆长曾小燕、县文化馆副馆长张汝霞同志获评</w:t>
      </w:r>
      <w:r>
        <w:rPr>
          <w:rFonts w:hint="eastAsia" w:ascii="仿宋" w:hAnsi="仿宋" w:eastAsia="仿宋" w:cs="仿宋"/>
          <w:color w:val="auto"/>
          <w:sz w:val="32"/>
          <w:szCs w:val="32"/>
          <w:highlight w:val="none"/>
        </w:rPr>
        <w:t>第三批“粤美乡村文化指导员”</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为乡村文化振兴注入新动能。</w:t>
      </w:r>
    </w:p>
    <w:p w14:paraId="20E73CBA">
      <w:pPr>
        <w:keepNext w:val="0"/>
        <w:keepLines w:val="0"/>
        <w:pageBreakBefore w:val="0"/>
        <w:numPr>
          <w:ilvl w:val="0"/>
          <w:numId w:val="0"/>
        </w:numPr>
        <w:wordWrap/>
        <w:overflowPunct/>
        <w:topLinePunct w:val="0"/>
        <w:bidi w:val="0"/>
        <w:adjustRightInd w:val="0"/>
        <w:snapToGrid w:val="0"/>
        <w:spacing w:line="560" w:lineRule="exact"/>
        <w:ind w:firstLine="616" w:firstLineChars="200"/>
        <w:rPr>
          <w:rFonts w:hint="eastAsia" w:ascii="仿宋" w:hAnsi="仿宋" w:eastAsia="仿宋" w:cs="仿宋"/>
          <w:color w:val="auto"/>
          <w:sz w:val="32"/>
          <w:szCs w:val="32"/>
          <w:highlight w:val="none"/>
        </w:rPr>
      </w:pPr>
      <w:r>
        <w:rPr>
          <w:rFonts w:hint="eastAsia" w:ascii="仿宋" w:hAnsi="仿宋" w:eastAsia="仿宋" w:cs="仿宋"/>
          <w:b/>
          <w:bCs/>
          <w:color w:val="auto"/>
          <w:sz w:val="32"/>
          <w:szCs w:val="32"/>
          <w:highlight w:val="none"/>
          <w:lang w:val="en-US" w:eastAsia="zh-CN"/>
        </w:rPr>
        <w:t>3.</w:t>
      </w:r>
      <w:r>
        <w:rPr>
          <w:rFonts w:hint="eastAsia" w:ascii="仿宋" w:hAnsi="仿宋" w:eastAsia="仿宋" w:cs="仿宋"/>
          <w:b/>
          <w:bCs/>
          <w:color w:val="auto"/>
          <w:sz w:val="32"/>
          <w:szCs w:val="32"/>
          <w:highlight w:val="none"/>
          <w:lang w:eastAsia="zh-CN"/>
        </w:rPr>
        <w:t>文</w:t>
      </w:r>
      <w:r>
        <w:rPr>
          <w:rFonts w:hint="eastAsia" w:ascii="仿宋" w:hAnsi="仿宋" w:eastAsia="仿宋" w:cs="仿宋"/>
          <w:b/>
          <w:bCs/>
          <w:color w:val="auto"/>
          <w:sz w:val="32"/>
          <w:szCs w:val="32"/>
          <w:highlight w:val="none"/>
        </w:rPr>
        <w:t>化品牌与宣传推广体系日趋成熟</w:t>
      </w:r>
      <w:r>
        <w:rPr>
          <w:rFonts w:hint="eastAsia" w:ascii="仿宋" w:hAnsi="仿宋" w:eastAsia="仿宋" w:cs="仿宋"/>
          <w:b/>
          <w:bCs/>
          <w:color w:val="auto"/>
          <w:sz w:val="32"/>
          <w:szCs w:val="32"/>
          <w:highlight w:val="none"/>
          <w:lang w:eastAsia="zh-CN"/>
        </w:rPr>
        <w:t>。</w:t>
      </w:r>
      <w:r>
        <w:rPr>
          <w:rFonts w:hint="eastAsia" w:ascii="仿宋" w:hAnsi="仿宋" w:eastAsia="仿宋" w:cs="仿宋"/>
          <w:b/>
          <w:bCs/>
          <w:color w:val="auto"/>
          <w:sz w:val="32"/>
          <w:szCs w:val="32"/>
          <w:highlight w:val="none"/>
        </w:rPr>
        <w:t>一是</w:t>
      </w:r>
      <w:r>
        <w:rPr>
          <w:rFonts w:hint="eastAsia" w:ascii="仿宋" w:hAnsi="仿宋" w:eastAsia="仿宋" w:cs="仿宋"/>
          <w:color w:val="auto"/>
          <w:sz w:val="32"/>
          <w:szCs w:val="32"/>
          <w:highlight w:val="none"/>
        </w:rPr>
        <w:t>群众性文化品牌活动常态化、特色化。成功打造并持续举办“市民艺术夜校”“四季欢歌-百姓舞台”“知识加油站”“周末十点半”等普惠性品牌活动。深入开展“双百行动”，与高校合作举办展览、培训，年惠及群众超5万人次。</w:t>
      </w:r>
      <w:r>
        <w:rPr>
          <w:rFonts w:hint="eastAsia" w:ascii="仿宋" w:hAnsi="仿宋" w:eastAsia="仿宋" w:cs="仿宋"/>
          <w:b/>
          <w:bCs/>
          <w:color w:val="auto"/>
          <w:sz w:val="32"/>
          <w:szCs w:val="32"/>
          <w:highlight w:val="none"/>
        </w:rPr>
        <w:t>二是</w:t>
      </w:r>
      <w:r>
        <w:rPr>
          <w:rFonts w:hint="eastAsia" w:ascii="仿宋" w:hAnsi="仿宋" w:eastAsia="仿宋" w:cs="仿宋"/>
          <w:color w:val="auto"/>
          <w:sz w:val="32"/>
          <w:szCs w:val="32"/>
          <w:highlight w:val="none"/>
        </w:rPr>
        <w:t>“文旅+农业”特色节庆品牌影响力持续扩大</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举办</w:t>
      </w:r>
      <w:r>
        <w:rPr>
          <w:rFonts w:hint="eastAsia" w:ascii="仿宋" w:hAnsi="仿宋" w:eastAsia="仿宋" w:cs="仿宋"/>
          <w:color w:val="auto"/>
          <w:sz w:val="32"/>
          <w:szCs w:val="32"/>
          <w:highlight w:val="none"/>
          <w:lang w:eastAsia="zh-CN"/>
        </w:rPr>
        <w:t>程村蚝美食文化宣传周暨农文旅融合发展推介会、</w:t>
      </w:r>
      <w:r>
        <w:rPr>
          <w:rFonts w:hint="eastAsia" w:ascii="仿宋" w:hAnsi="仿宋" w:eastAsia="仿宋" w:cs="仿宋"/>
          <w:color w:val="auto"/>
          <w:sz w:val="32"/>
          <w:szCs w:val="32"/>
          <w:highlight w:val="none"/>
        </w:rPr>
        <w:t>上洋西瓜推介等</w:t>
      </w:r>
      <w:r>
        <w:rPr>
          <w:rFonts w:hint="eastAsia" w:ascii="仿宋" w:hAnsi="仿宋" w:eastAsia="仿宋" w:cs="仿宋"/>
          <w:color w:val="auto"/>
          <w:sz w:val="32"/>
          <w:szCs w:val="32"/>
          <w:highlight w:val="none"/>
          <w:lang w:eastAsia="zh-CN"/>
        </w:rPr>
        <w:t>大型文旅</w:t>
      </w:r>
      <w:r>
        <w:rPr>
          <w:rFonts w:hint="eastAsia" w:ascii="仿宋" w:hAnsi="仿宋" w:eastAsia="仿宋" w:cs="仿宋"/>
          <w:color w:val="auto"/>
          <w:sz w:val="32"/>
          <w:szCs w:val="32"/>
          <w:highlight w:val="none"/>
        </w:rPr>
        <w:t>活动，获省文旅厅支持</w:t>
      </w:r>
      <w:r>
        <w:rPr>
          <w:rFonts w:hint="eastAsia" w:ascii="仿宋" w:hAnsi="仿宋" w:eastAsia="仿宋" w:cs="仿宋"/>
          <w:color w:val="auto"/>
          <w:sz w:val="32"/>
          <w:szCs w:val="32"/>
          <w:highlight w:val="none"/>
          <w:lang w:eastAsia="zh-CN"/>
        </w:rPr>
        <w:t>举</w:t>
      </w:r>
      <w:r>
        <w:rPr>
          <w:rFonts w:hint="eastAsia" w:ascii="仿宋" w:hAnsi="仿宋" w:eastAsia="仿宋" w:cs="仿宋"/>
          <w:color w:val="auto"/>
          <w:sz w:val="32"/>
          <w:szCs w:val="32"/>
          <w:highlight w:val="none"/>
        </w:rPr>
        <w:t>办夏秋季“村晚”、承办省“镇镇有声——文旅赋能百千万广东文旅特色镇提升行动”首站</w:t>
      </w:r>
      <w:r>
        <w:rPr>
          <w:rFonts w:hint="eastAsia" w:ascii="仿宋" w:hAnsi="仿宋" w:eastAsia="仿宋" w:cs="仿宋"/>
          <w:color w:val="auto"/>
          <w:sz w:val="32"/>
          <w:szCs w:val="32"/>
          <w:highlight w:val="none"/>
          <w:lang w:eastAsia="zh-CN"/>
        </w:rPr>
        <w:t>活动</w:t>
      </w:r>
      <w:r>
        <w:rPr>
          <w:rFonts w:hint="eastAsia" w:ascii="仿宋" w:hAnsi="仿宋" w:eastAsia="仿宋" w:cs="仿宋"/>
          <w:color w:val="auto"/>
          <w:sz w:val="32"/>
          <w:szCs w:val="32"/>
          <w:highlight w:val="none"/>
        </w:rPr>
        <w:t>，创新“媒体+”赋能，率先成立全省首个农产品产销相关平台</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有效集中推介农文旅资源。</w:t>
      </w:r>
    </w:p>
    <w:p w14:paraId="4585018B">
      <w:pPr>
        <w:keepNext w:val="0"/>
        <w:keepLines w:val="0"/>
        <w:pageBreakBefore w:val="0"/>
        <w:kinsoku/>
        <w:wordWrap/>
        <w:overflowPunct/>
        <w:topLinePunct w:val="0"/>
        <w:autoSpaceDE/>
        <w:autoSpaceDN/>
        <w:bidi w:val="0"/>
        <w:adjustRightInd w:val="0"/>
        <w:snapToGrid w:val="0"/>
        <w:spacing w:line="560" w:lineRule="exact"/>
        <w:ind w:firstLine="616" w:firstLineChars="200"/>
        <w:textAlignment w:val="auto"/>
        <w:rPr>
          <w:rFonts w:hint="eastAsia" w:ascii="楷体" w:hAnsi="楷体" w:eastAsia="楷体" w:cs="楷体"/>
          <w:color w:val="auto"/>
          <w:sz w:val="32"/>
          <w:szCs w:val="32"/>
          <w:highlight w:val="none"/>
          <w:lang w:eastAsia="zh-CN"/>
        </w:rPr>
      </w:pPr>
      <w:r>
        <w:rPr>
          <w:rFonts w:hint="eastAsia" w:ascii="楷体" w:hAnsi="楷体" w:eastAsia="楷体" w:cs="楷体"/>
          <w:color w:val="auto"/>
          <w:sz w:val="32"/>
          <w:szCs w:val="32"/>
          <w:highlight w:val="none"/>
        </w:rPr>
        <w:t>（</w:t>
      </w:r>
      <w:r>
        <w:rPr>
          <w:rFonts w:hint="eastAsia" w:ascii="楷体" w:hAnsi="楷体" w:eastAsia="楷体" w:cs="楷体"/>
          <w:color w:val="auto"/>
          <w:sz w:val="32"/>
          <w:szCs w:val="32"/>
          <w:highlight w:val="none"/>
          <w:lang w:eastAsia="zh-CN"/>
        </w:rPr>
        <w:t>五</w:t>
      </w:r>
      <w:r>
        <w:rPr>
          <w:rFonts w:hint="eastAsia" w:ascii="楷体" w:hAnsi="楷体" w:eastAsia="楷体" w:cs="楷体"/>
          <w:color w:val="auto"/>
          <w:sz w:val="32"/>
          <w:szCs w:val="32"/>
          <w:highlight w:val="none"/>
        </w:rPr>
        <w:t>）文化遗产保护加强，传承体系日益完善</w:t>
      </w:r>
    </w:p>
    <w:p w14:paraId="5CCABEC1">
      <w:pPr>
        <w:keepNext w:val="0"/>
        <w:keepLines w:val="0"/>
        <w:pageBreakBefore w:val="0"/>
        <w:numPr>
          <w:ilvl w:val="0"/>
          <w:numId w:val="0"/>
        </w:numPr>
        <w:wordWrap/>
        <w:overflowPunct/>
        <w:topLinePunct w:val="0"/>
        <w:bidi w:val="0"/>
        <w:adjustRightInd w:val="0"/>
        <w:snapToGrid w:val="0"/>
        <w:spacing w:line="560" w:lineRule="exact"/>
        <w:ind w:firstLine="616" w:firstLineChars="200"/>
        <w:rPr>
          <w:rFonts w:hint="eastAsia" w:ascii="仿宋" w:hAnsi="仿宋" w:eastAsia="仿宋" w:cs="仿宋"/>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1.文物普查与基础管理全面夯实。</w:t>
      </w:r>
      <w:r>
        <w:rPr>
          <w:rFonts w:hint="eastAsia" w:ascii="仿宋" w:hAnsi="仿宋" w:eastAsia="仿宋" w:cs="仿宋"/>
          <w:color w:val="auto"/>
          <w:sz w:val="32"/>
          <w:szCs w:val="32"/>
          <w:highlight w:val="none"/>
          <w:lang w:val="en-US" w:eastAsia="zh-CN"/>
        </w:rPr>
        <w:t>扎实推进第四次全国文物普查，制定并实施《阳西县不可移动文物定期检查和定期报告制度》，全年开展安全巡查48处，整改隐患12处，完成各级文保单位安全责任人告示、标志牌更新，编制完善重点文保单位“四有”档案，健全文物安全管理体系。</w:t>
      </w:r>
    </w:p>
    <w:p w14:paraId="3FF0D794">
      <w:pPr>
        <w:keepNext w:val="0"/>
        <w:keepLines w:val="0"/>
        <w:pageBreakBefore w:val="0"/>
        <w:numPr>
          <w:ilvl w:val="0"/>
          <w:numId w:val="0"/>
        </w:numPr>
        <w:wordWrap/>
        <w:overflowPunct/>
        <w:topLinePunct w:val="0"/>
        <w:bidi w:val="0"/>
        <w:adjustRightInd w:val="0"/>
        <w:snapToGrid w:val="0"/>
        <w:spacing w:line="560" w:lineRule="exact"/>
        <w:ind w:firstLine="616" w:firstLineChars="200"/>
        <w:rPr>
          <w:rFonts w:hint="eastAsia" w:ascii="仿宋" w:hAnsi="仿宋" w:eastAsia="仿宋" w:cs="仿宋"/>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2.保护修缮与活化利用协同推进。</w:t>
      </w:r>
      <w:r>
        <w:rPr>
          <w:rFonts w:hint="eastAsia" w:ascii="仿宋" w:hAnsi="仿宋" w:eastAsia="仿宋" w:cs="仿宋"/>
          <w:color w:val="auto"/>
          <w:sz w:val="32"/>
          <w:szCs w:val="32"/>
          <w:highlight w:val="none"/>
          <w:lang w:val="en-US" w:eastAsia="zh-CN"/>
        </w:rPr>
        <w:t>坚持保护与利用并重，实施一批重点文物修缮与展示工程。推进七贤书院、中共沙扒特别支部旧址、泰安堡、周安堡、郑家康烈士故居等一批重点文物的修缮工作，为后续保护利用奠定基础。</w:t>
      </w:r>
    </w:p>
    <w:p w14:paraId="06A10DBA">
      <w:pPr>
        <w:keepNext w:val="0"/>
        <w:keepLines w:val="0"/>
        <w:pageBreakBefore w:val="0"/>
        <w:kinsoku/>
        <w:wordWrap/>
        <w:overflowPunct/>
        <w:topLinePunct w:val="0"/>
        <w:autoSpaceDE/>
        <w:autoSpaceDN/>
        <w:bidi w:val="0"/>
        <w:adjustRightInd w:val="0"/>
        <w:snapToGrid w:val="0"/>
        <w:spacing w:line="560" w:lineRule="exact"/>
        <w:ind w:firstLine="616" w:firstLineChars="200"/>
        <w:textAlignment w:val="auto"/>
        <w:rPr>
          <w:rFonts w:hint="eastAsia" w:ascii="仿宋" w:hAnsi="仿宋" w:eastAsia="仿宋" w:cs="仿宋"/>
          <w:color w:val="auto"/>
          <w:sz w:val="32"/>
          <w:szCs w:val="32"/>
          <w:highlight w:val="none"/>
          <w:lang w:eastAsia="zh-CN"/>
        </w:rPr>
      </w:pPr>
      <w:r>
        <w:rPr>
          <w:rFonts w:hint="eastAsia" w:ascii="仿宋" w:hAnsi="仿宋" w:eastAsia="仿宋" w:cs="仿宋"/>
          <w:b/>
          <w:bCs/>
          <w:color w:val="auto"/>
          <w:sz w:val="32"/>
          <w:szCs w:val="32"/>
          <w:highlight w:val="none"/>
          <w:lang w:val="en-US" w:eastAsia="zh-CN"/>
        </w:rPr>
        <w:t>3.非物质文化遗产保护传承工作扎实推进。一是</w:t>
      </w:r>
      <w:r>
        <w:rPr>
          <w:rFonts w:hint="eastAsia" w:ascii="仿宋" w:hAnsi="仿宋" w:eastAsia="仿宋" w:cs="仿宋"/>
          <w:color w:val="auto"/>
          <w:sz w:val="32"/>
          <w:szCs w:val="32"/>
          <w:highlight w:val="none"/>
          <w:lang w:val="en-US" w:eastAsia="zh-CN"/>
        </w:rPr>
        <w:t>名录体系与传承队伍不断壮大。成功组织开展第五批县级非遗项目申报，今年新增项目10个，新认定县级代表性传承人13名，组织推荐15个县级项目申报市级第八批非遗名录，全县拥有各级非物质文化遗产代表性项目77项，各级非遗代表性传承人128人，总量位居全市第一。</w:t>
      </w:r>
      <w:r>
        <w:rPr>
          <w:rFonts w:hint="eastAsia" w:ascii="仿宋" w:hAnsi="仿宋" w:eastAsia="仿宋" w:cs="仿宋"/>
          <w:b/>
          <w:bCs/>
          <w:color w:val="auto"/>
          <w:sz w:val="32"/>
          <w:szCs w:val="32"/>
          <w:highlight w:val="none"/>
          <w:lang w:val="en-US" w:eastAsia="zh-CN"/>
        </w:rPr>
        <w:t>二是</w:t>
      </w:r>
      <w:r>
        <w:rPr>
          <w:rFonts w:hint="eastAsia" w:ascii="仿宋" w:hAnsi="仿宋" w:eastAsia="仿宋" w:cs="仿宋"/>
          <w:color w:val="auto"/>
          <w:sz w:val="32"/>
          <w:szCs w:val="32"/>
          <w:highlight w:val="none"/>
          <w:lang w:val="en-US" w:eastAsia="zh-CN"/>
        </w:rPr>
        <w:t>宣传展示与融合发展成效显著。全年组织开展“非遗活动周”“文化和自然遗产日”系列活动、非遗展演等各类展示体验活动20次，</w:t>
      </w:r>
      <w:r>
        <w:rPr>
          <w:rFonts w:hint="eastAsia" w:ascii="仿宋" w:hAnsi="仿宋" w:eastAsia="仿宋" w:cs="仿宋"/>
          <w:color w:val="auto"/>
          <w:sz w:val="32"/>
          <w:szCs w:val="32"/>
          <w:highlight w:val="none"/>
          <w:lang w:eastAsia="zh-CN"/>
        </w:rPr>
        <w:t>成功推动阳西非遗亮相央视《湾区花正开》等国家级主流媒体平台，显著提升阳西非遗影响力。</w:t>
      </w:r>
    </w:p>
    <w:p w14:paraId="777DC882">
      <w:pPr>
        <w:keepNext w:val="0"/>
        <w:keepLines w:val="0"/>
        <w:pageBreakBefore w:val="0"/>
        <w:kinsoku/>
        <w:wordWrap/>
        <w:overflowPunct/>
        <w:topLinePunct w:val="0"/>
        <w:autoSpaceDE/>
        <w:autoSpaceDN/>
        <w:bidi w:val="0"/>
        <w:adjustRightInd w:val="0"/>
        <w:snapToGrid w:val="0"/>
        <w:spacing w:line="560" w:lineRule="exact"/>
        <w:ind w:firstLine="616" w:firstLineChars="200"/>
        <w:textAlignment w:val="auto"/>
        <w:rPr>
          <w:rFonts w:hint="eastAsia" w:ascii="楷体" w:hAnsi="楷体" w:eastAsia="楷体" w:cs="楷体"/>
          <w:color w:val="auto"/>
          <w:sz w:val="32"/>
          <w:szCs w:val="32"/>
          <w:highlight w:val="none"/>
        </w:rPr>
      </w:pPr>
      <w:r>
        <w:rPr>
          <w:rFonts w:hint="eastAsia" w:ascii="楷体" w:hAnsi="楷体" w:eastAsia="楷体" w:cs="楷体"/>
          <w:color w:val="auto"/>
          <w:sz w:val="32"/>
          <w:szCs w:val="32"/>
          <w:highlight w:val="none"/>
        </w:rPr>
        <w:t>（</w:t>
      </w:r>
      <w:r>
        <w:rPr>
          <w:rFonts w:hint="eastAsia" w:ascii="楷体" w:hAnsi="楷体" w:eastAsia="楷体" w:cs="楷体"/>
          <w:color w:val="auto"/>
          <w:sz w:val="32"/>
          <w:szCs w:val="32"/>
          <w:highlight w:val="none"/>
          <w:lang w:eastAsia="zh-CN"/>
        </w:rPr>
        <w:t>六</w:t>
      </w:r>
      <w:r>
        <w:rPr>
          <w:rFonts w:hint="eastAsia" w:ascii="楷体" w:hAnsi="楷体" w:eastAsia="楷体" w:cs="楷体"/>
          <w:color w:val="auto"/>
          <w:sz w:val="32"/>
          <w:szCs w:val="32"/>
          <w:highlight w:val="none"/>
        </w:rPr>
        <w:t>）体育事业蓬勃发展，健身网络加快构建</w:t>
      </w:r>
    </w:p>
    <w:p w14:paraId="0D14FD70">
      <w:pPr>
        <w:keepNext w:val="0"/>
        <w:keepLines w:val="0"/>
        <w:pageBreakBefore w:val="0"/>
        <w:wordWrap/>
        <w:overflowPunct/>
        <w:topLinePunct w:val="0"/>
        <w:bidi w:val="0"/>
        <w:adjustRightInd w:val="0"/>
        <w:snapToGrid w:val="0"/>
        <w:spacing w:line="560" w:lineRule="exact"/>
        <w:ind w:firstLine="616" w:firstLineChars="200"/>
        <w:rPr>
          <w:rFonts w:hint="eastAsia" w:ascii="仿宋" w:hAnsi="仿宋" w:eastAsia="仿宋" w:cs="仿宋"/>
          <w:color w:val="auto"/>
          <w:sz w:val="32"/>
          <w:szCs w:val="32"/>
          <w:highlight w:val="none"/>
          <w:lang w:eastAsia="zh-CN"/>
        </w:rPr>
      </w:pPr>
      <w:r>
        <w:rPr>
          <w:rFonts w:hint="eastAsia" w:ascii="仿宋" w:hAnsi="仿宋" w:eastAsia="仿宋" w:cs="仿宋"/>
          <w:b/>
          <w:bCs/>
          <w:color w:val="auto"/>
          <w:sz w:val="32"/>
          <w:szCs w:val="32"/>
          <w:highlight w:val="none"/>
          <w:lang w:val="en-US" w:eastAsia="zh-CN"/>
        </w:rPr>
        <w:t>1.</w:t>
      </w:r>
      <w:r>
        <w:rPr>
          <w:rFonts w:hint="eastAsia" w:ascii="仿宋" w:hAnsi="仿宋" w:eastAsia="仿宋" w:cs="仿宋"/>
          <w:b/>
          <w:bCs/>
          <w:color w:val="auto"/>
          <w:sz w:val="32"/>
          <w:szCs w:val="32"/>
          <w:highlight w:val="none"/>
        </w:rPr>
        <w:t>体育健身设施不断完善</w:t>
      </w:r>
      <w:r>
        <w:rPr>
          <w:rFonts w:hint="eastAsia" w:ascii="仿宋" w:hAnsi="仿宋" w:eastAsia="仿宋" w:cs="仿宋"/>
          <w:b/>
          <w:bCs/>
          <w:color w:val="auto"/>
          <w:sz w:val="32"/>
          <w:szCs w:val="32"/>
          <w:highlight w:val="none"/>
          <w:lang w:eastAsia="zh-CN"/>
        </w:rPr>
        <w:t>。</w:t>
      </w:r>
      <w:r>
        <w:rPr>
          <w:rFonts w:hint="eastAsia" w:ascii="仿宋" w:hAnsi="仿宋" w:eastAsia="仿宋" w:cs="仿宋"/>
          <w:color w:val="auto"/>
          <w:sz w:val="32"/>
          <w:szCs w:val="32"/>
          <w:highlight w:val="none"/>
          <w:lang w:eastAsia="zh-CN"/>
        </w:rPr>
        <w:t>持续加大对体育基础设施投入，篮球场、健身路径等基础体育设施已基本实现全覆盖。阳西县体育馆建设项目将建成投用，为满足全年龄段群众的多元化、高品质健身需求提供关键硬件支撑。阳西县体育馆建设项目建成投用，填补了县域大型综合性体育馆的空白，进一步完善了城市功能与公共服务体系。</w:t>
      </w:r>
    </w:p>
    <w:p w14:paraId="697B5B36">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beforeAutospacing="0" w:afterAutospacing="0" w:line="560" w:lineRule="exact"/>
        <w:ind w:right="0" w:rightChars="0" w:firstLine="616" w:firstLineChars="200"/>
        <w:jc w:val="both"/>
        <w:textAlignment w:val="baseline"/>
        <w:outlineLvl w:val="9"/>
        <w:rPr>
          <w:rFonts w:hint="eastAsia" w:ascii="仿宋" w:hAnsi="仿宋" w:eastAsia="仿宋" w:cs="仿宋"/>
          <w:color w:val="auto"/>
          <w:kern w:val="2"/>
          <w:sz w:val="32"/>
          <w:szCs w:val="32"/>
          <w:highlight w:val="none"/>
          <w:lang w:val="en-US" w:eastAsia="zh-CN" w:bidi="ar-SA"/>
        </w:rPr>
      </w:pPr>
      <w:r>
        <w:rPr>
          <w:rFonts w:hint="eastAsia" w:cs="仿宋"/>
          <w:b/>
          <w:bCs/>
          <w:color w:val="auto"/>
          <w:kern w:val="2"/>
          <w:sz w:val="32"/>
          <w:szCs w:val="32"/>
          <w:highlight w:val="none"/>
          <w:lang w:val="en-US" w:eastAsia="zh-CN" w:bidi="ar-SA"/>
        </w:rPr>
        <w:t>2</w:t>
      </w:r>
      <w:r>
        <w:rPr>
          <w:rFonts w:hint="eastAsia" w:ascii="仿宋" w:hAnsi="仿宋" w:eastAsia="仿宋" w:cs="仿宋"/>
          <w:b/>
          <w:bCs/>
          <w:color w:val="auto"/>
          <w:kern w:val="2"/>
          <w:sz w:val="32"/>
          <w:szCs w:val="32"/>
          <w:highlight w:val="none"/>
          <w:lang w:val="en-US" w:eastAsia="zh-CN" w:bidi="ar-SA"/>
        </w:rPr>
        <w:t>.青少年体育发展成效显著。</w:t>
      </w:r>
      <w:r>
        <w:rPr>
          <w:rFonts w:hint="eastAsia" w:ascii="仿宋" w:hAnsi="仿宋" w:eastAsia="仿宋" w:cs="仿宋"/>
          <w:color w:val="auto"/>
          <w:kern w:val="2"/>
          <w:sz w:val="32"/>
          <w:szCs w:val="32"/>
          <w:highlight w:val="none"/>
          <w:lang w:val="en-US" w:eastAsia="zh-CN" w:bidi="ar-SA"/>
        </w:rPr>
        <w:t>青少年体育工作扎实推进，后备人才培养质量显著提升。在2025年“奔跑吧少年”阳江市青少年锦标赛中，阳西代表队成绩优异，分别斩获女子篮球甲级冠军、女子排球冠军，并在田径等项目中获得团体总分第三名，充分展现青少年竞技体育的强劲实力和发展潜力。</w:t>
      </w:r>
    </w:p>
    <w:p w14:paraId="5B9D7111">
      <w:pPr>
        <w:keepNext w:val="0"/>
        <w:keepLines w:val="0"/>
        <w:pageBreakBefore w:val="0"/>
        <w:wordWrap/>
        <w:overflowPunct/>
        <w:topLinePunct w:val="0"/>
        <w:bidi w:val="0"/>
        <w:adjustRightInd w:val="0"/>
        <w:snapToGrid w:val="0"/>
        <w:spacing w:line="560" w:lineRule="exact"/>
        <w:ind w:firstLine="596" w:firstLineChars="200"/>
        <w:rPr>
          <w:rFonts w:hint="eastAsia" w:ascii="仿宋" w:hAnsi="仿宋" w:eastAsia="仿宋" w:cs="仿宋"/>
          <w:color w:val="auto"/>
          <w:kern w:val="2"/>
          <w:sz w:val="32"/>
          <w:szCs w:val="32"/>
          <w:highlight w:val="none"/>
          <w:lang w:val="en-US" w:eastAsia="zh-CN" w:bidi="ar-SA"/>
        </w:rPr>
      </w:pPr>
      <w:r>
        <w:rPr>
          <w:rFonts w:hint="eastAsia" w:cs="仿宋"/>
          <w:b/>
          <w:bCs/>
          <w:color w:val="auto"/>
          <w:kern w:val="2"/>
          <w:sz w:val="31"/>
          <w:szCs w:val="31"/>
          <w:highlight w:val="none"/>
          <w:lang w:val="en-US" w:eastAsia="zh-CN" w:bidi="ar-SA"/>
        </w:rPr>
        <w:t>3.</w:t>
      </w:r>
      <w:r>
        <w:rPr>
          <w:rFonts w:ascii="仿宋" w:hAnsi="仿宋" w:eastAsia="仿宋" w:cs="仿宋"/>
          <w:b/>
          <w:bCs/>
          <w:color w:val="auto"/>
          <w:kern w:val="2"/>
          <w:sz w:val="31"/>
          <w:szCs w:val="31"/>
          <w:highlight w:val="none"/>
          <w:lang w:val="en-US" w:eastAsia="en-US" w:bidi="ar-SA"/>
        </w:rPr>
        <w:t>体育产业带动效应凸显</w:t>
      </w:r>
      <w:r>
        <w:rPr>
          <w:rFonts w:hint="eastAsia" w:cs="仿宋"/>
          <w:b/>
          <w:bCs/>
          <w:color w:val="auto"/>
          <w:kern w:val="2"/>
          <w:sz w:val="31"/>
          <w:szCs w:val="31"/>
          <w:highlight w:val="none"/>
          <w:lang w:val="en-US" w:eastAsia="zh-CN" w:bidi="ar-SA"/>
        </w:rPr>
        <w:t>。</w:t>
      </w:r>
      <w:r>
        <w:rPr>
          <w:rFonts w:hint="eastAsia" w:ascii="仿宋" w:hAnsi="仿宋" w:eastAsia="仿宋" w:cs="仿宋"/>
          <w:color w:val="auto"/>
          <w:kern w:val="2"/>
          <w:sz w:val="32"/>
          <w:szCs w:val="32"/>
          <w:highlight w:val="none"/>
          <w:lang w:val="en-US" w:eastAsia="zh-CN" w:bidi="ar-SA"/>
        </w:rPr>
        <w:t>结合地方特色与省“百县千镇万村”系列赛事要求，成功举办乡村篮球赛、广场舞展演、乒乓球赛、风筝赛等系列群众喜闻乐见的赛事活动。成功协办2025阳江市男子业余足球联赛（阳西赛区），创新采用 “线上直播+线下观赛” 融合模式，累计观看量突破80万次，有效实现 “体育引流、旅游增值” 新动能。</w:t>
      </w:r>
    </w:p>
    <w:p w14:paraId="34E50E77">
      <w:pPr>
        <w:keepNext w:val="0"/>
        <w:keepLines w:val="0"/>
        <w:pageBreakBefore w:val="0"/>
        <w:kinsoku/>
        <w:wordWrap/>
        <w:overflowPunct/>
        <w:topLinePunct w:val="0"/>
        <w:autoSpaceDE/>
        <w:autoSpaceDN/>
        <w:bidi w:val="0"/>
        <w:adjustRightInd w:val="0"/>
        <w:snapToGrid w:val="0"/>
        <w:spacing w:line="560" w:lineRule="exact"/>
        <w:ind w:firstLine="616" w:firstLineChars="200"/>
        <w:textAlignment w:val="auto"/>
        <w:rPr>
          <w:rFonts w:hint="eastAsia" w:ascii="楷体" w:hAnsi="楷体" w:eastAsia="楷体" w:cs="楷体"/>
          <w:color w:val="auto"/>
          <w:sz w:val="32"/>
          <w:szCs w:val="32"/>
          <w:highlight w:val="none"/>
          <w:lang w:eastAsia="zh-CN"/>
        </w:rPr>
      </w:pPr>
      <w:r>
        <w:rPr>
          <w:rFonts w:hint="eastAsia" w:ascii="楷体" w:hAnsi="楷体" w:eastAsia="楷体" w:cs="楷体"/>
          <w:color w:val="auto"/>
          <w:sz w:val="32"/>
          <w:szCs w:val="32"/>
          <w:highlight w:val="none"/>
        </w:rPr>
        <w:t>（</w:t>
      </w:r>
      <w:r>
        <w:rPr>
          <w:rFonts w:hint="eastAsia" w:ascii="楷体" w:hAnsi="楷体" w:eastAsia="楷体" w:cs="楷体"/>
          <w:color w:val="auto"/>
          <w:sz w:val="32"/>
          <w:szCs w:val="32"/>
          <w:highlight w:val="none"/>
          <w:lang w:eastAsia="zh-CN"/>
        </w:rPr>
        <w:t>七</w:t>
      </w:r>
      <w:r>
        <w:rPr>
          <w:rFonts w:hint="eastAsia" w:ascii="楷体" w:hAnsi="楷体" w:eastAsia="楷体" w:cs="楷体"/>
          <w:color w:val="auto"/>
          <w:sz w:val="32"/>
          <w:szCs w:val="32"/>
          <w:highlight w:val="none"/>
        </w:rPr>
        <w:t>）行业监管规范有序，市场环境持续优化</w:t>
      </w:r>
    </w:p>
    <w:p w14:paraId="20424AD9">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596" w:firstLineChars="200"/>
        <w:textAlignment w:val="auto"/>
        <w:rPr>
          <w:rFonts w:hint="eastAsia" w:ascii="仿宋" w:hAnsi="仿宋" w:eastAsia="仿宋" w:cs="仿宋"/>
          <w:color w:val="auto"/>
          <w:kern w:val="2"/>
          <w:sz w:val="31"/>
          <w:szCs w:val="31"/>
          <w:highlight w:val="none"/>
          <w:lang w:val="en-US" w:eastAsia="zh-CN" w:bidi="ar-SA"/>
        </w:rPr>
      </w:pPr>
      <w:r>
        <w:rPr>
          <w:rFonts w:hint="eastAsia" w:ascii="仿宋" w:hAnsi="仿宋" w:eastAsia="仿宋" w:cs="仿宋"/>
          <w:b/>
          <w:bCs/>
          <w:color w:val="auto"/>
          <w:kern w:val="2"/>
          <w:sz w:val="31"/>
          <w:szCs w:val="31"/>
          <w:highlight w:val="none"/>
          <w:lang w:val="en-US" w:eastAsia="zh-CN" w:bidi="ar-SA"/>
        </w:rPr>
        <w:t>1.安全生产责任压紧压实。一是</w:t>
      </w:r>
      <w:r>
        <w:rPr>
          <w:rFonts w:hint="eastAsia" w:ascii="仿宋" w:hAnsi="仿宋" w:eastAsia="仿宋" w:cs="仿宋"/>
          <w:b/>
          <w:bCs/>
          <w:color w:val="auto"/>
          <w:kern w:val="2"/>
          <w:sz w:val="31"/>
          <w:szCs w:val="31"/>
          <w:highlight w:val="none"/>
          <w:lang w:val="en-US" w:eastAsia="en-US" w:bidi="ar-SA"/>
        </w:rPr>
        <w:t>深化隐患排查治理</w:t>
      </w:r>
      <w:r>
        <w:rPr>
          <w:rFonts w:hint="eastAsia" w:ascii="仿宋" w:hAnsi="仿宋" w:eastAsia="仿宋" w:cs="仿宋"/>
          <w:b/>
          <w:bCs/>
          <w:color w:val="auto"/>
          <w:kern w:val="2"/>
          <w:sz w:val="31"/>
          <w:szCs w:val="31"/>
          <w:highlight w:val="none"/>
          <w:lang w:val="en-US" w:eastAsia="zh-CN" w:bidi="ar-SA"/>
        </w:rPr>
        <w:t>。</w:t>
      </w:r>
      <w:r>
        <w:rPr>
          <w:rFonts w:hint="eastAsia" w:ascii="仿宋" w:hAnsi="仿宋" w:eastAsia="仿宋" w:cs="仿宋"/>
          <w:color w:val="auto"/>
          <w:kern w:val="2"/>
          <w:sz w:val="31"/>
          <w:szCs w:val="31"/>
          <w:highlight w:val="none"/>
          <w:lang w:val="en-US" w:eastAsia="zh-CN" w:bidi="ar-SA"/>
        </w:rPr>
        <w:t>持续推进行业领域安全生产治本攻坚三年行动和2025年隐患排查整治年行动，常态化开展文旅市场安全生产大检查行动。在节假日等重点时段，联合公安、市场监管、消防等部门，对A级旅游景区、文化娱乐场所等进行拉网式排查，检查市场经营主体292家次，出动检查人员500多人次，排查整改各类安全隐患76处。</w:t>
      </w:r>
      <w:r>
        <w:rPr>
          <w:rFonts w:hint="eastAsia" w:ascii="仿宋" w:hAnsi="仿宋" w:eastAsia="仿宋" w:cs="仿宋"/>
          <w:b/>
          <w:bCs/>
          <w:color w:val="auto"/>
          <w:kern w:val="2"/>
          <w:sz w:val="31"/>
          <w:szCs w:val="31"/>
          <w:highlight w:val="none"/>
          <w:lang w:val="en-US" w:eastAsia="zh-CN" w:bidi="ar-SA"/>
        </w:rPr>
        <w:t>二是</w:t>
      </w:r>
      <w:r>
        <w:rPr>
          <w:rFonts w:hint="eastAsia" w:ascii="仿宋" w:hAnsi="仿宋" w:eastAsia="仿宋" w:cs="仿宋"/>
          <w:b/>
          <w:bCs/>
          <w:color w:val="auto"/>
          <w:kern w:val="2"/>
          <w:sz w:val="31"/>
          <w:szCs w:val="31"/>
          <w:highlight w:val="none"/>
          <w:lang w:val="en-US" w:eastAsia="en-US" w:bidi="ar-SA"/>
        </w:rPr>
        <w:t>安全播出保障有力。</w:t>
      </w:r>
      <w:r>
        <w:rPr>
          <w:rFonts w:hint="eastAsia" w:ascii="仿宋" w:hAnsi="仿宋" w:eastAsia="仿宋" w:cs="仿宋"/>
          <w:color w:val="auto"/>
          <w:kern w:val="2"/>
          <w:sz w:val="31"/>
          <w:szCs w:val="31"/>
          <w:highlight w:val="none"/>
          <w:lang w:val="en-US" w:eastAsia="zh-CN" w:bidi="ar-SA"/>
        </w:rPr>
        <w:t>严抓非法卫星电视接收设施整治工作，</w:t>
      </w:r>
      <w:r>
        <w:rPr>
          <w:rFonts w:hint="eastAsia" w:ascii="仿宋" w:hAnsi="仿宋" w:eastAsia="仿宋" w:cs="仿宋"/>
          <w:color w:val="auto"/>
          <w:sz w:val="32"/>
          <w:szCs w:val="32"/>
          <w:highlight w:val="none"/>
          <w:shd w:val="clear" w:color="auto" w:fill="auto"/>
          <w:lang w:val="en-US" w:eastAsia="zh-CN"/>
        </w:rPr>
        <w:t>累计出动100余人次，</w:t>
      </w:r>
      <w:r>
        <w:rPr>
          <w:rFonts w:hint="eastAsia" w:ascii="仿宋" w:hAnsi="仿宋" w:eastAsia="仿宋" w:cs="仿宋"/>
          <w:color w:val="auto"/>
          <w:kern w:val="2"/>
          <w:sz w:val="31"/>
          <w:szCs w:val="31"/>
          <w:highlight w:val="none"/>
          <w:lang w:val="en-US" w:eastAsia="zh-CN" w:bidi="ar-SA"/>
        </w:rPr>
        <w:t>抽查酒店宾馆及店铺60余家，确保广播电视播出安全。</w:t>
      </w:r>
      <w:r>
        <w:rPr>
          <w:rFonts w:hint="eastAsia" w:ascii="仿宋" w:hAnsi="仿宋" w:eastAsia="仿宋" w:cs="仿宋"/>
          <w:b/>
          <w:bCs/>
          <w:color w:val="auto"/>
          <w:kern w:val="2"/>
          <w:sz w:val="31"/>
          <w:szCs w:val="31"/>
          <w:highlight w:val="none"/>
          <w:lang w:val="en-US" w:eastAsia="zh-CN" w:bidi="ar-SA"/>
        </w:rPr>
        <w:t>三是强化培训演练与应急能力。</w:t>
      </w:r>
      <w:r>
        <w:rPr>
          <w:rFonts w:hint="eastAsia" w:ascii="仿宋" w:hAnsi="仿宋" w:eastAsia="仿宋" w:cs="仿宋"/>
          <w:color w:val="auto"/>
          <w:kern w:val="2"/>
          <w:sz w:val="31"/>
          <w:szCs w:val="31"/>
          <w:highlight w:val="none"/>
          <w:lang w:val="en-US" w:eastAsia="zh-CN" w:bidi="ar-SA"/>
        </w:rPr>
        <w:t>全年组织线上培训学习会、现场应急培训和演练等6次，增强经营主体安全意识和应急处置能力。</w:t>
      </w:r>
    </w:p>
    <w:p w14:paraId="53F064BA">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596" w:firstLineChars="200"/>
        <w:textAlignment w:val="auto"/>
        <w:rPr>
          <w:rFonts w:hint="eastAsia" w:ascii="仿宋" w:hAnsi="仿宋" w:eastAsia="仿宋" w:cs="仿宋"/>
          <w:color w:val="auto"/>
          <w:kern w:val="2"/>
          <w:sz w:val="31"/>
          <w:szCs w:val="31"/>
          <w:highlight w:val="none"/>
          <w:lang w:val="en-US" w:eastAsia="zh-CN" w:bidi="ar-SA"/>
        </w:rPr>
      </w:pPr>
      <w:r>
        <w:rPr>
          <w:rFonts w:hint="eastAsia" w:ascii="仿宋" w:hAnsi="仿宋" w:eastAsia="仿宋" w:cs="仿宋"/>
          <w:b/>
          <w:bCs/>
          <w:color w:val="auto"/>
          <w:kern w:val="2"/>
          <w:sz w:val="31"/>
          <w:szCs w:val="31"/>
          <w:highlight w:val="none"/>
          <w:lang w:val="en-US" w:eastAsia="zh-CN" w:bidi="ar-SA"/>
        </w:rPr>
        <w:t>2.市场秩序整治持续深化。</w:t>
      </w:r>
      <w:r>
        <w:rPr>
          <w:rFonts w:hint="eastAsia" w:ascii="仿宋" w:hAnsi="仿宋" w:eastAsia="仿宋" w:cs="仿宋"/>
          <w:color w:val="auto"/>
          <w:kern w:val="2"/>
          <w:sz w:val="31"/>
          <w:szCs w:val="31"/>
          <w:highlight w:val="none"/>
          <w:lang w:val="en-US" w:eastAsia="zh-CN" w:bidi="ar-SA"/>
        </w:rPr>
        <w:t> </w:t>
      </w:r>
      <w:r>
        <w:rPr>
          <w:rFonts w:hint="eastAsia" w:ascii="仿宋" w:hAnsi="仿宋" w:eastAsia="仿宋" w:cs="仿宋"/>
          <w:b/>
          <w:bCs/>
          <w:color w:val="auto"/>
          <w:kern w:val="2"/>
          <w:sz w:val="31"/>
          <w:szCs w:val="31"/>
          <w:highlight w:val="none"/>
          <w:lang w:val="en-US" w:eastAsia="zh-CN" w:bidi="ar-SA"/>
        </w:rPr>
        <w:t>一是加强文化旅游市场整治。</w:t>
      </w:r>
      <w:r>
        <w:rPr>
          <w:rFonts w:hint="eastAsia" w:ascii="仿宋" w:hAnsi="仿宋" w:eastAsia="仿宋" w:cs="仿宋"/>
          <w:color w:val="auto"/>
          <w:kern w:val="2"/>
          <w:sz w:val="31"/>
          <w:szCs w:val="31"/>
          <w:highlight w:val="none"/>
          <w:lang w:val="en-US" w:eastAsia="zh-CN" w:bidi="ar-SA"/>
        </w:rPr>
        <w:t>聚焦文化旅游市场突出问题，围绕“不合理低价游”、强制消费等问题开展专项行动，检查旅行社团队50家次，移送强制消费线索1条，办结</w:t>
      </w:r>
      <w:r>
        <w:rPr>
          <w:rFonts w:hint="eastAsia" w:ascii="方正仿宋_GB2312" w:hAnsi="方正仿宋_GB2312" w:eastAsia="方正仿宋_GB2312" w:cs="方正仿宋_GB2312"/>
          <w:color w:val="auto"/>
          <w:sz w:val="32"/>
          <w:szCs w:val="32"/>
          <w:lang w:val="en-US" w:eastAsia="zh-CN"/>
        </w:rPr>
        <w:t>盗版出版物案件3件，维护群众合法权益。</w:t>
      </w:r>
      <w:r>
        <w:rPr>
          <w:rFonts w:hint="eastAsia" w:ascii="仿宋" w:hAnsi="仿宋" w:eastAsia="仿宋" w:cs="仿宋"/>
          <w:b/>
          <w:bCs/>
          <w:color w:val="auto"/>
          <w:kern w:val="2"/>
          <w:sz w:val="31"/>
          <w:szCs w:val="31"/>
          <w:highlight w:val="none"/>
          <w:lang w:val="en-US" w:eastAsia="zh-CN" w:bidi="ar-SA"/>
        </w:rPr>
        <w:t>二是深入开展娱乐场所整治和规范涉企行政执法专项行动。</w:t>
      </w:r>
      <w:r>
        <w:rPr>
          <w:rFonts w:hint="eastAsia" w:ascii="仿宋" w:hAnsi="仿宋" w:eastAsia="仿宋" w:cs="仿宋"/>
          <w:color w:val="auto"/>
          <w:kern w:val="2"/>
          <w:sz w:val="31"/>
          <w:szCs w:val="31"/>
          <w:highlight w:val="none"/>
          <w:lang w:val="en-US" w:eastAsia="zh-CN" w:bidi="ar-SA"/>
        </w:rPr>
        <w:t>全面复核场所设立条件、严查接纳未成年人、超时经营等行为，取缔无证场所，排查安全隐患。全年</w:t>
      </w:r>
      <w:r>
        <w:rPr>
          <w:rFonts w:hint="eastAsia" w:ascii="仿宋" w:hAnsi="仿宋" w:eastAsia="仿宋" w:cs="仿宋"/>
          <w:color w:val="auto"/>
          <w:sz w:val="32"/>
          <w:szCs w:val="32"/>
          <w:highlight w:val="none"/>
          <w:shd w:val="clear" w:color="auto" w:fill="auto"/>
          <w:lang w:val="en-US" w:eastAsia="zh-CN"/>
        </w:rPr>
        <w:t>累计出动检查人员186人次，检查娱乐场所29家、网吧6家，营业性演出4家，办结案件15起，约谈企业12家，共处罚9家，罚没款项127830元，责令就地整改2家，</w:t>
      </w:r>
      <w:r>
        <w:rPr>
          <w:rFonts w:hint="eastAsia" w:ascii="仿宋" w:hAnsi="仿宋" w:eastAsia="仿宋" w:cs="仿宋"/>
          <w:color w:val="auto"/>
          <w:kern w:val="2"/>
          <w:sz w:val="31"/>
          <w:szCs w:val="31"/>
          <w:highlight w:val="none"/>
          <w:lang w:val="en-US" w:eastAsia="zh-CN" w:bidi="ar-SA"/>
        </w:rPr>
        <w:t>有效保障文旅市场健康有序。</w:t>
      </w:r>
    </w:p>
    <w:p w14:paraId="5583F43D">
      <w:pPr>
        <w:ind w:firstLine="520"/>
        <w:rPr>
          <w:rFonts w:ascii="仿宋_GB2312" w:hAnsi="仿宋_GB2312" w:cs="仿宋_GB2312"/>
          <w:bCs/>
          <w:sz w:val="26"/>
          <w:szCs w:val="26"/>
        </w:rPr>
      </w:pPr>
      <w:r>
        <w:rPr>
          <w:rFonts w:hint="eastAsia"/>
          <w:b/>
        </w:rPr>
        <w:t>（三）</w:t>
      </w:r>
      <w:bookmarkEnd w:id="8"/>
      <w:bookmarkEnd w:id="9"/>
      <w:r>
        <w:rPr>
          <w:rFonts w:hint="eastAsia"/>
          <w:b/>
        </w:rPr>
        <w:t>部门整体支出情况。</w:t>
      </w:r>
    </w:p>
    <w:p w14:paraId="7F94ABBD">
      <w:pPr>
        <w:ind w:firstLine="520"/>
        <w:rPr>
          <w:rFonts w:ascii="仿宋_GB2312" w:hAnsi="仿宋_GB2312" w:cs="仿宋_GB2312"/>
          <w:bCs/>
          <w:color w:val="auto"/>
          <w:szCs w:val="32"/>
        </w:rPr>
      </w:pPr>
      <w:r>
        <w:rPr>
          <w:rFonts w:hint="eastAsia" w:ascii="仿宋_GB2312" w:hAnsi="仿宋_GB2312" w:cs="仿宋_GB2312"/>
          <w:bCs/>
          <w:color w:val="auto"/>
          <w:szCs w:val="32"/>
          <w:lang w:eastAsia="zh-CN"/>
        </w:rPr>
        <w:t>202</w:t>
      </w:r>
      <w:r>
        <w:rPr>
          <w:rFonts w:hint="eastAsia" w:ascii="仿宋_GB2312" w:hAnsi="仿宋_GB2312" w:cs="仿宋_GB2312"/>
          <w:bCs/>
          <w:color w:val="auto"/>
          <w:szCs w:val="32"/>
          <w:lang w:val="en-US" w:eastAsia="zh-CN"/>
        </w:rPr>
        <w:t>5</w:t>
      </w:r>
      <w:r>
        <w:rPr>
          <w:rFonts w:hint="eastAsia" w:ascii="仿宋_GB2312" w:hAnsi="仿宋_GB2312" w:cs="仿宋_GB2312"/>
          <w:bCs/>
          <w:color w:val="auto"/>
          <w:szCs w:val="32"/>
        </w:rPr>
        <w:t>年度本部门年初结转</w:t>
      </w:r>
      <w:r>
        <w:rPr>
          <w:rFonts w:hint="eastAsia" w:ascii="仿宋_GB2312" w:hAnsi="仿宋_GB2312" w:cs="仿宋_GB2312"/>
          <w:bCs/>
          <w:color w:val="auto"/>
          <w:szCs w:val="32"/>
          <w:highlight w:val="none"/>
          <w:lang w:val="en-US" w:eastAsia="zh-CN"/>
        </w:rPr>
        <w:t>458.25</w:t>
      </w:r>
      <w:r>
        <w:rPr>
          <w:rFonts w:hint="eastAsia" w:ascii="仿宋_GB2312" w:hAnsi="仿宋_GB2312" w:cs="仿宋_GB2312"/>
          <w:bCs/>
          <w:color w:val="auto"/>
          <w:szCs w:val="32"/>
        </w:rPr>
        <w:t>万元，年初预算为</w:t>
      </w:r>
      <w:r>
        <w:rPr>
          <w:rFonts w:hint="eastAsia" w:ascii="仿宋_GB2312" w:hAnsi="仿宋_GB2312" w:cs="仿宋_GB2312"/>
          <w:bCs/>
          <w:color w:val="auto"/>
          <w:szCs w:val="32"/>
          <w:lang w:val="en-US" w:eastAsia="zh-CN"/>
        </w:rPr>
        <w:t>1504.53</w:t>
      </w:r>
      <w:r>
        <w:rPr>
          <w:rFonts w:hint="eastAsia" w:ascii="仿宋_GB2312" w:hAnsi="仿宋_GB2312" w:cs="仿宋_GB2312"/>
          <w:bCs/>
          <w:color w:val="auto"/>
          <w:szCs w:val="32"/>
        </w:rPr>
        <w:t>万元，实际下达为</w:t>
      </w:r>
      <w:r>
        <w:rPr>
          <w:rFonts w:hint="eastAsia" w:ascii="仿宋_GB2312" w:hAnsi="仿宋_GB2312" w:cs="仿宋_GB2312"/>
          <w:bCs/>
          <w:color w:val="auto"/>
          <w:szCs w:val="32"/>
          <w:lang w:val="en-US" w:eastAsia="zh-CN"/>
        </w:rPr>
        <w:t>4913.04</w:t>
      </w:r>
      <w:r>
        <w:rPr>
          <w:rFonts w:hint="eastAsia" w:ascii="仿宋_GB2312" w:hAnsi="仿宋_GB2312" w:cs="仿宋_GB2312"/>
          <w:bCs/>
          <w:color w:val="auto"/>
          <w:szCs w:val="32"/>
        </w:rPr>
        <w:t>万元，实际支出为</w:t>
      </w:r>
      <w:r>
        <w:rPr>
          <w:rFonts w:hint="eastAsia" w:ascii="仿宋_GB2312" w:hAnsi="仿宋_GB2312" w:cs="仿宋_GB2312"/>
          <w:bCs/>
          <w:color w:val="auto"/>
          <w:szCs w:val="32"/>
          <w:lang w:val="en-US" w:eastAsia="zh-CN"/>
        </w:rPr>
        <w:t>5195.51</w:t>
      </w:r>
      <w:r>
        <w:rPr>
          <w:rFonts w:hint="eastAsia" w:ascii="仿宋_GB2312" w:hAnsi="仿宋_GB2312" w:cs="仿宋_GB2312"/>
          <w:bCs/>
          <w:color w:val="auto"/>
          <w:szCs w:val="32"/>
        </w:rPr>
        <w:t>万元。</w:t>
      </w:r>
    </w:p>
    <w:p w14:paraId="05651D46">
      <w:pPr>
        <w:ind w:firstLine="520"/>
        <w:rPr>
          <w:rFonts w:ascii="仿宋_GB2312" w:hAnsi="仿宋_GB2312" w:cs="仿宋_GB2312"/>
          <w:bCs/>
          <w:color w:val="auto"/>
          <w:szCs w:val="32"/>
        </w:rPr>
      </w:pPr>
      <w:r>
        <w:rPr>
          <w:rFonts w:hint="eastAsia" w:ascii="仿宋_GB2312" w:hAnsi="仿宋_GB2312" w:cs="仿宋_GB2312"/>
          <w:bCs/>
          <w:color w:val="auto"/>
          <w:szCs w:val="32"/>
          <w:lang w:eastAsia="zh-CN"/>
        </w:rPr>
        <w:t>202</w:t>
      </w:r>
      <w:r>
        <w:rPr>
          <w:rFonts w:hint="eastAsia" w:ascii="仿宋_GB2312" w:hAnsi="仿宋_GB2312" w:cs="仿宋_GB2312"/>
          <w:bCs/>
          <w:color w:val="auto"/>
          <w:szCs w:val="32"/>
          <w:lang w:val="en-US" w:eastAsia="zh-CN"/>
        </w:rPr>
        <w:t>5</w:t>
      </w:r>
      <w:r>
        <w:rPr>
          <w:rFonts w:hint="eastAsia" w:ascii="仿宋_GB2312" w:hAnsi="仿宋_GB2312" w:cs="仿宋_GB2312"/>
          <w:bCs/>
          <w:color w:val="auto"/>
          <w:szCs w:val="32"/>
        </w:rPr>
        <w:t>年本部门财政拨款安排“三公”经费为</w:t>
      </w:r>
      <w:r>
        <w:rPr>
          <w:rFonts w:hint="eastAsia" w:ascii="仿宋_GB2312" w:hAnsi="仿宋_GB2312" w:cs="仿宋_GB2312"/>
          <w:bCs/>
          <w:color w:val="auto"/>
          <w:szCs w:val="32"/>
          <w:lang w:val="en-US" w:eastAsia="zh-CN"/>
        </w:rPr>
        <w:t>24.68</w:t>
      </w:r>
      <w:r>
        <w:rPr>
          <w:rFonts w:hint="eastAsia" w:ascii="仿宋_GB2312" w:hAnsi="仿宋_GB2312" w:cs="仿宋_GB2312"/>
          <w:bCs/>
          <w:color w:val="auto"/>
          <w:szCs w:val="32"/>
        </w:rPr>
        <w:t>万元，</w:t>
      </w:r>
      <w:r>
        <w:rPr>
          <w:rFonts w:hint="eastAsia" w:ascii="仿宋_GB2312" w:hAnsi="仿宋_GB2312" w:cs="仿宋_GB2312"/>
          <w:bCs/>
          <w:color w:val="auto"/>
          <w:szCs w:val="32"/>
          <w:lang w:eastAsia="zh-CN"/>
        </w:rPr>
        <w:t>202</w:t>
      </w:r>
      <w:r>
        <w:rPr>
          <w:rFonts w:hint="eastAsia" w:ascii="仿宋_GB2312" w:hAnsi="仿宋_GB2312" w:cs="仿宋_GB2312"/>
          <w:bCs/>
          <w:color w:val="auto"/>
          <w:szCs w:val="32"/>
          <w:lang w:val="en-US" w:eastAsia="zh-CN"/>
        </w:rPr>
        <w:t>5</w:t>
      </w:r>
      <w:r>
        <w:rPr>
          <w:rFonts w:hint="eastAsia" w:ascii="仿宋_GB2312" w:hAnsi="仿宋_GB2312" w:cs="仿宋_GB2312"/>
          <w:bCs/>
          <w:color w:val="auto"/>
          <w:szCs w:val="32"/>
        </w:rPr>
        <w:t>年决算数为</w:t>
      </w:r>
      <w:r>
        <w:rPr>
          <w:rFonts w:hint="eastAsia" w:ascii="仿宋_GB2312" w:hAnsi="仿宋_GB2312" w:cs="仿宋_GB2312"/>
          <w:bCs/>
          <w:color w:val="auto"/>
          <w:szCs w:val="32"/>
          <w:lang w:val="en-US" w:eastAsia="zh-CN"/>
        </w:rPr>
        <w:t>17.17</w:t>
      </w:r>
      <w:r>
        <w:rPr>
          <w:rFonts w:hint="eastAsia" w:ascii="仿宋_GB2312" w:hAnsi="仿宋_GB2312" w:cs="仿宋_GB2312"/>
          <w:bCs/>
          <w:color w:val="auto"/>
          <w:szCs w:val="32"/>
        </w:rPr>
        <w:t>万元，主要原因是</w:t>
      </w:r>
      <w:r>
        <w:rPr>
          <w:rFonts w:hint="eastAsia" w:ascii="仿宋_GB2312" w:hAnsi="仿宋_GB2312" w:cs="仿宋_GB2312"/>
          <w:bCs/>
          <w:color w:val="auto"/>
          <w:szCs w:val="32"/>
          <w:lang w:val="en-US" w:eastAsia="zh-CN"/>
        </w:rPr>
        <w:t>2025年我局报废原有两辆旧公车，购置一辆新公务用车</w:t>
      </w:r>
      <w:r>
        <w:rPr>
          <w:rFonts w:hint="eastAsia" w:ascii="仿宋_GB2312" w:hAnsi="仿宋_GB2312" w:cs="仿宋_GB2312"/>
          <w:bCs/>
          <w:color w:val="auto"/>
          <w:szCs w:val="32"/>
        </w:rPr>
        <w:t>。</w:t>
      </w:r>
    </w:p>
    <w:p w14:paraId="08C489C5">
      <w:pPr>
        <w:ind w:firstLine="520"/>
        <w:rPr>
          <w:rFonts w:ascii="仿宋_GB2312" w:hAnsi="仿宋_GB2312" w:cs="仿宋_GB2312"/>
          <w:bCs/>
          <w:szCs w:val="32"/>
          <w:lang w:bidi="ar"/>
        </w:rPr>
      </w:pPr>
      <w:r>
        <w:rPr>
          <w:rFonts w:hint="eastAsia" w:ascii="仿宋_GB2312" w:hAnsi="仿宋_GB2312" w:cs="仿宋_GB2312"/>
          <w:bCs/>
          <w:color w:val="auto"/>
          <w:szCs w:val="32"/>
          <w:lang w:eastAsia="zh-CN"/>
        </w:rPr>
        <w:t>202</w:t>
      </w:r>
      <w:r>
        <w:rPr>
          <w:rFonts w:hint="eastAsia" w:ascii="仿宋_GB2312" w:hAnsi="仿宋_GB2312" w:cs="仿宋_GB2312"/>
          <w:bCs/>
          <w:color w:val="auto"/>
          <w:szCs w:val="32"/>
          <w:lang w:val="en-US" w:eastAsia="zh-CN"/>
        </w:rPr>
        <w:t>5</w:t>
      </w:r>
      <w:r>
        <w:rPr>
          <w:rFonts w:hint="eastAsia" w:ascii="仿宋_GB2312" w:hAnsi="仿宋_GB2312" w:cs="仿宋_GB2312"/>
          <w:bCs/>
          <w:color w:val="auto"/>
          <w:szCs w:val="32"/>
        </w:rPr>
        <w:t>年本部门财政拨款安排公用经费为</w:t>
      </w:r>
      <w:r>
        <w:rPr>
          <w:rFonts w:hint="eastAsia" w:ascii="仿宋_GB2312" w:hAnsi="仿宋_GB2312" w:cs="仿宋_GB2312"/>
          <w:bCs/>
          <w:color w:val="auto"/>
          <w:szCs w:val="32"/>
          <w:highlight w:val="none"/>
          <w:lang w:val="en-US" w:eastAsia="zh-CN"/>
        </w:rPr>
        <w:t>109.76</w:t>
      </w:r>
      <w:r>
        <w:rPr>
          <w:rFonts w:hint="eastAsia" w:ascii="仿宋_GB2312" w:hAnsi="仿宋_GB2312" w:cs="仿宋_GB2312"/>
          <w:bCs/>
          <w:color w:val="auto"/>
          <w:szCs w:val="32"/>
          <w:highlight w:val="none"/>
        </w:rPr>
        <w:t>万元，</w:t>
      </w:r>
      <w:r>
        <w:rPr>
          <w:rFonts w:hint="eastAsia" w:ascii="仿宋_GB2312" w:hAnsi="仿宋_GB2312" w:cs="仿宋_GB2312"/>
          <w:bCs/>
          <w:color w:val="auto"/>
          <w:szCs w:val="32"/>
          <w:highlight w:val="none"/>
          <w:lang w:eastAsia="zh-CN"/>
        </w:rPr>
        <w:t>202</w:t>
      </w:r>
      <w:r>
        <w:rPr>
          <w:rFonts w:hint="eastAsia" w:ascii="仿宋_GB2312" w:hAnsi="仿宋_GB2312" w:cs="仿宋_GB2312"/>
          <w:bCs/>
          <w:color w:val="auto"/>
          <w:szCs w:val="32"/>
          <w:highlight w:val="none"/>
          <w:lang w:val="en-US" w:eastAsia="zh-CN"/>
        </w:rPr>
        <w:t>5</w:t>
      </w:r>
      <w:r>
        <w:rPr>
          <w:rFonts w:hint="eastAsia" w:ascii="仿宋_GB2312" w:hAnsi="仿宋_GB2312" w:cs="仿宋_GB2312"/>
          <w:bCs/>
          <w:color w:val="auto"/>
          <w:szCs w:val="32"/>
          <w:highlight w:val="none"/>
        </w:rPr>
        <w:t>年决算数为</w:t>
      </w:r>
      <w:r>
        <w:rPr>
          <w:rFonts w:hint="eastAsia" w:ascii="仿宋_GB2312" w:hAnsi="仿宋_GB2312" w:cs="仿宋_GB2312"/>
          <w:bCs/>
          <w:color w:val="auto"/>
          <w:szCs w:val="32"/>
          <w:highlight w:val="none"/>
          <w:lang w:val="en-US" w:eastAsia="zh-CN"/>
        </w:rPr>
        <w:t>100.29</w:t>
      </w:r>
      <w:r>
        <w:rPr>
          <w:rFonts w:hint="eastAsia" w:ascii="仿宋_GB2312" w:hAnsi="仿宋_GB2312" w:cs="仿宋_GB2312"/>
          <w:bCs/>
          <w:color w:val="auto"/>
          <w:szCs w:val="32"/>
          <w:highlight w:val="none"/>
        </w:rPr>
        <w:t>万元</w:t>
      </w:r>
      <w:r>
        <w:rPr>
          <w:rFonts w:hint="eastAsia" w:ascii="仿宋_GB2312" w:hAnsi="仿宋_GB2312" w:cs="仿宋_GB2312"/>
          <w:bCs/>
          <w:color w:val="auto"/>
          <w:szCs w:val="32"/>
          <w:lang w:val="en-US" w:eastAsia="zh-CN"/>
        </w:rPr>
        <w:t>。</w:t>
      </w:r>
    </w:p>
    <w:p w14:paraId="71FFDB9B">
      <w:pPr>
        <w:ind w:firstLine="520"/>
        <w:rPr>
          <w:b/>
        </w:rPr>
      </w:pPr>
      <w:r>
        <w:rPr>
          <w:rFonts w:hint="eastAsia"/>
          <w:b/>
        </w:rPr>
        <w:t>（四）部门整体支出绩效目标。</w:t>
      </w:r>
    </w:p>
    <w:p w14:paraId="7D6EEDCF">
      <w:pPr>
        <w:keepNext w:val="0"/>
        <w:keepLines w:val="0"/>
        <w:pageBreakBefore w:val="0"/>
        <w:widowControl w:val="0"/>
        <w:kinsoku/>
        <w:wordWrap/>
        <w:overflowPunct/>
        <w:topLinePunct w:val="0"/>
        <w:autoSpaceDE/>
        <w:autoSpaceDN/>
        <w:bidi w:val="0"/>
        <w:adjustRightInd/>
        <w:snapToGrid/>
        <w:spacing w:line="560" w:lineRule="exact"/>
        <w:ind w:firstLine="616" w:firstLineChars="200"/>
        <w:textAlignment w:val="auto"/>
        <w:rPr>
          <w:rFonts w:hint="eastAsia"/>
        </w:rPr>
      </w:pPr>
      <w:bookmarkStart w:id="10" w:name="_Toc22180"/>
      <w:bookmarkStart w:id="11" w:name="_Toc4514_WPSOffice_Level1"/>
      <w:r>
        <w:rPr>
          <w:rFonts w:hint="eastAsia"/>
        </w:rPr>
        <w:t>我局2025年整体支出绩效目标是</w:t>
      </w:r>
      <w:r>
        <w:rPr>
          <w:rFonts w:hint="eastAsia"/>
          <w:lang w:eastAsia="zh-CN"/>
        </w:rPr>
        <w:t>：</w:t>
      </w:r>
      <w:r>
        <w:rPr>
          <w:rFonts w:hint="eastAsia"/>
        </w:rPr>
        <w:t>全面落实阳西县委、县政府决策部署，聚力推动重点项目建设与文旅产业深度融合，加快构建“一江三核三带”发展布局。持续提升公共文化服务效能，推动优质文化资源直达基层，不断增强群众文化获得感。加强文化遗产保护传承，完善全民健身设施网络，构建覆盖城乡的健身服务体系。</w:t>
      </w:r>
    </w:p>
    <w:p w14:paraId="3BA7AFAF">
      <w:pPr>
        <w:keepNext w:val="0"/>
        <w:keepLines w:val="0"/>
        <w:pageBreakBefore w:val="0"/>
        <w:widowControl w:val="0"/>
        <w:kinsoku/>
        <w:wordWrap/>
        <w:overflowPunct/>
        <w:topLinePunct w:val="0"/>
        <w:autoSpaceDE/>
        <w:autoSpaceDN/>
        <w:bidi w:val="0"/>
        <w:adjustRightInd/>
        <w:snapToGrid/>
        <w:spacing w:line="560" w:lineRule="exact"/>
        <w:ind w:firstLine="616" w:firstLineChars="200"/>
        <w:textAlignment w:val="auto"/>
        <w:rPr>
          <w:rFonts w:hint="eastAsia"/>
        </w:rPr>
      </w:pPr>
      <w:r>
        <w:rPr>
          <w:rFonts w:hint="eastAsia"/>
        </w:rPr>
        <w:t>目前，我县已成功培育具有阳西特色的文旅IP，文创消费与旅游市场实现双向繁荣，文化旅游市场运行规范有序，旅游特色鲜明，区域竞争力显著提升。在此基础上，我局将以绩效目标为导向，统筹资金使用与项目推进，确保各项任务落地见效，助力阳西文化和旅游体育事业高质量发展。</w:t>
      </w:r>
    </w:p>
    <w:p w14:paraId="4039D5E4">
      <w:pPr>
        <w:ind w:firstLine="616" w:firstLineChars="200"/>
        <w:rPr>
          <w:rFonts w:ascii="方正小标宋简体" w:eastAsia="方正小标宋简体"/>
        </w:rPr>
      </w:pPr>
      <w:r>
        <w:rPr>
          <w:rFonts w:hint="eastAsia" w:ascii="方正小标宋简体" w:eastAsia="方正小标宋简体"/>
        </w:rPr>
        <w:t>二、绩效自评结论</w:t>
      </w:r>
      <w:bookmarkEnd w:id="10"/>
      <w:bookmarkEnd w:id="11"/>
    </w:p>
    <w:p w14:paraId="1AB3A0A6">
      <w:pPr>
        <w:snapToGrid w:val="0"/>
        <w:spacing w:line="360" w:lineRule="auto"/>
        <w:ind w:firstLine="616" w:firstLineChars="200"/>
        <w:rPr>
          <w:rFonts w:ascii="方正小标宋简体" w:eastAsia="方正小标宋简体"/>
        </w:rPr>
      </w:pPr>
      <w:bookmarkStart w:id="12" w:name="_Toc2072"/>
      <w:bookmarkStart w:id="13" w:name="_Toc2998_WPSOffice_Level1"/>
      <w:r>
        <w:rPr>
          <w:rFonts w:hint="eastAsia" w:ascii="仿宋" w:hAnsi="仿宋" w:eastAsia="仿宋" w:cs="仿宋"/>
          <w:szCs w:val="32"/>
        </w:rPr>
        <w:t>经综合测评，</w:t>
      </w:r>
      <w:r>
        <w:rPr>
          <w:rFonts w:hint="eastAsia" w:ascii="仿宋" w:hAnsi="仿宋" w:eastAsia="仿宋" w:cs="仿宋"/>
          <w:color w:val="auto"/>
          <w:szCs w:val="32"/>
          <w:lang w:eastAsia="zh-CN"/>
        </w:rPr>
        <w:t>202</w:t>
      </w:r>
      <w:r>
        <w:rPr>
          <w:rFonts w:hint="eastAsia" w:ascii="仿宋" w:hAnsi="仿宋" w:eastAsia="仿宋" w:cs="仿宋"/>
          <w:color w:val="auto"/>
          <w:szCs w:val="32"/>
          <w:lang w:val="en-US" w:eastAsia="zh-CN"/>
        </w:rPr>
        <w:t>5</w:t>
      </w:r>
      <w:r>
        <w:rPr>
          <w:rFonts w:hint="eastAsia" w:ascii="仿宋" w:hAnsi="仿宋" w:eastAsia="仿宋" w:cs="仿宋"/>
          <w:color w:val="auto"/>
          <w:szCs w:val="32"/>
        </w:rPr>
        <w:t>年本单位自评</w:t>
      </w:r>
      <w:r>
        <w:rPr>
          <w:rFonts w:hint="eastAsia" w:ascii="仿宋" w:hAnsi="仿宋" w:eastAsia="仿宋" w:cs="仿宋"/>
          <w:color w:val="auto"/>
          <w:szCs w:val="32"/>
          <w:highlight w:val="none"/>
          <w:lang w:val="en-US" w:eastAsia="zh-CN"/>
        </w:rPr>
        <w:t>96.84</w:t>
      </w:r>
      <w:r>
        <w:rPr>
          <w:rFonts w:hint="eastAsia" w:ascii="仿宋" w:hAnsi="仿宋" w:eastAsia="仿宋" w:cs="仿宋"/>
          <w:color w:val="auto"/>
          <w:szCs w:val="32"/>
        </w:rPr>
        <w:t>分，</w:t>
      </w:r>
      <w:r>
        <w:rPr>
          <w:rFonts w:hint="eastAsia" w:ascii="仿宋" w:hAnsi="仿宋" w:eastAsia="仿宋" w:cs="仿宋"/>
          <w:szCs w:val="32"/>
        </w:rPr>
        <w:t>等级为优</w:t>
      </w:r>
      <w:r>
        <w:rPr>
          <w:rFonts w:hint="eastAsia" w:ascii="仿宋_GB2312" w:hAnsi="华文仿宋" w:cs="仿宋_GB2312"/>
          <w:szCs w:val="32"/>
        </w:rPr>
        <w:t>。</w:t>
      </w:r>
    </w:p>
    <w:p w14:paraId="35C6C2BE">
      <w:pPr>
        <w:ind w:firstLine="616" w:firstLineChars="200"/>
        <w:rPr>
          <w:rFonts w:ascii="方正小标宋简体" w:eastAsia="方正小标宋简体"/>
        </w:rPr>
      </w:pPr>
      <w:r>
        <w:rPr>
          <w:rFonts w:hint="eastAsia" w:ascii="方正小标宋简体" w:eastAsia="方正小标宋简体"/>
        </w:rPr>
        <w:t>三、绩效自评分析</w:t>
      </w:r>
      <w:bookmarkEnd w:id="12"/>
      <w:bookmarkEnd w:id="13"/>
    </w:p>
    <w:p w14:paraId="495DCE24">
      <w:pPr>
        <w:ind w:firstLine="616" w:firstLineChars="200"/>
        <w:rPr>
          <w:b/>
        </w:rPr>
      </w:pPr>
      <w:bookmarkStart w:id="14" w:name="_Toc19924"/>
      <w:bookmarkStart w:id="15" w:name="_Toc22677"/>
      <w:bookmarkStart w:id="16" w:name="_Toc27392_WPSOffice_Level2"/>
      <w:bookmarkStart w:id="17" w:name="_Toc26765_WPSOffice_Level3"/>
      <w:r>
        <w:rPr>
          <w:rFonts w:hint="eastAsia"/>
          <w:b/>
        </w:rPr>
        <w:t>（一）预算编制情况</w:t>
      </w:r>
      <w:bookmarkEnd w:id="14"/>
      <w:bookmarkEnd w:id="15"/>
      <w:bookmarkEnd w:id="16"/>
      <w:bookmarkEnd w:id="17"/>
      <w:r>
        <w:rPr>
          <w:rFonts w:hint="eastAsia"/>
          <w:b/>
        </w:rPr>
        <w:t>。</w:t>
      </w:r>
    </w:p>
    <w:p w14:paraId="29C4FD1C">
      <w:pPr>
        <w:ind w:firstLine="616" w:firstLineChars="200"/>
      </w:pPr>
      <w:bookmarkStart w:id="18" w:name="_Toc5828_WPSOffice_Level3"/>
      <w:bookmarkStart w:id="19" w:name="_Toc32482"/>
      <w:bookmarkStart w:id="20" w:name="_Toc19200_WPSOffice_Level2"/>
      <w:bookmarkStart w:id="21" w:name="_Toc13662"/>
      <w:r>
        <w:rPr>
          <w:rFonts w:hint="eastAsia" w:ascii="仿宋_GB2312" w:hAnsi="仿宋_GB2312" w:cs="仿宋_GB2312"/>
          <w:szCs w:val="32"/>
        </w:rPr>
        <w:t>1.预算编制。</w:t>
      </w:r>
      <w:r>
        <w:rPr>
          <w:rFonts w:hint="eastAsia"/>
        </w:rPr>
        <w:t>权重8分，自评7分。</w:t>
      </w:r>
    </w:p>
    <w:p w14:paraId="504987AC">
      <w:pPr>
        <w:ind w:firstLine="616" w:firstLineChars="200"/>
      </w:pPr>
      <w:r>
        <w:rPr>
          <w:rFonts w:hint="eastAsia"/>
        </w:rPr>
        <w:t>（1）预算编制合理性。</w:t>
      </w:r>
    </w:p>
    <w:p w14:paraId="394503E2">
      <w:pPr>
        <w:ind w:firstLine="616" w:firstLineChars="200"/>
      </w:pPr>
      <w:r>
        <w:rPr>
          <w:rFonts w:hint="eastAsia"/>
        </w:rPr>
        <w:t>紧紧围绕县委县政府中心任务和工作重点，立足自身职责和实际情况，准确精细地编制202</w:t>
      </w:r>
      <w:r>
        <w:rPr>
          <w:rFonts w:hint="eastAsia"/>
          <w:lang w:val="en-US" w:eastAsia="zh-CN"/>
        </w:rPr>
        <w:t>5</w:t>
      </w:r>
      <w:r>
        <w:rPr>
          <w:rFonts w:hint="eastAsia"/>
        </w:rPr>
        <w:t>年部门预算。部门预算编制科学合理，能够根据年度工作重点，结合项目轻重缓急，合理安排和调整资金。年中有部分资金调剂，扣1分。得3分。</w:t>
      </w:r>
    </w:p>
    <w:p w14:paraId="203D5486">
      <w:pPr>
        <w:ind w:firstLine="616" w:firstLineChars="200"/>
      </w:pPr>
      <w:r>
        <w:rPr>
          <w:rFonts w:hint="eastAsia"/>
        </w:rPr>
        <w:t>改进措施：充分调研、合理统筹，增加预算编制准确性和合理性，最大限度减少年中调剂。</w:t>
      </w:r>
    </w:p>
    <w:p w14:paraId="7F8AE79C">
      <w:pPr>
        <w:ind w:firstLine="616" w:firstLineChars="200"/>
      </w:pPr>
      <w:r>
        <w:rPr>
          <w:rFonts w:hint="eastAsia"/>
        </w:rPr>
        <w:t>（2）预算编制规范性。</w:t>
      </w:r>
    </w:p>
    <w:p w14:paraId="742E1D9B">
      <w:pPr>
        <w:ind w:firstLine="616" w:firstLineChars="200"/>
        <w:rPr>
          <w:rFonts w:hint="eastAsia"/>
        </w:rPr>
      </w:pPr>
      <w:r>
        <w:rPr>
          <w:rFonts w:hint="eastAsia"/>
        </w:rPr>
        <w:t>按照县财政部门的相关预算编制的原则达到规范、完整</w:t>
      </w:r>
      <w:r>
        <w:rPr>
          <w:rFonts w:hint="eastAsia"/>
          <w:lang w:eastAsia="zh-CN"/>
        </w:rPr>
        <w:t>、</w:t>
      </w:r>
      <w:r>
        <w:rPr>
          <w:rFonts w:hint="eastAsia"/>
        </w:rPr>
        <w:t>细致的要求。得4分。</w:t>
      </w:r>
    </w:p>
    <w:p w14:paraId="140B9DD0">
      <w:pPr>
        <w:ind w:firstLine="616" w:firstLineChars="200"/>
      </w:pPr>
      <w:r>
        <w:rPr>
          <w:rFonts w:hint="eastAsia"/>
        </w:rPr>
        <w:t>2.目标设置。权重12分，自评1</w:t>
      </w:r>
      <w:r>
        <w:rPr>
          <w:rFonts w:hint="eastAsia"/>
          <w:lang w:val="en-US" w:eastAsia="zh-CN"/>
        </w:rPr>
        <w:t>2</w:t>
      </w:r>
      <w:r>
        <w:rPr>
          <w:rFonts w:hint="eastAsia"/>
        </w:rPr>
        <w:t>分。</w:t>
      </w:r>
    </w:p>
    <w:p w14:paraId="627A46C7">
      <w:pPr>
        <w:ind w:firstLine="616" w:firstLineChars="200"/>
      </w:pPr>
      <w:r>
        <w:rPr>
          <w:rFonts w:hint="eastAsia"/>
        </w:rPr>
        <w:t>（1）绩效目标合理性。</w:t>
      </w:r>
    </w:p>
    <w:p w14:paraId="01BF3026">
      <w:pPr>
        <w:ind w:firstLine="616" w:firstLineChars="200"/>
      </w:pPr>
      <w:r>
        <w:rPr>
          <w:rFonts w:hint="eastAsia"/>
        </w:rPr>
        <w:t>我局依据部门“三定”方案规定的部门职能，结合部门年度工作计划，科学设定整体绩效目标。整体绩效目标与部门预算资金相匹配，能分解成具体工作任务，符合客观实际，部门申报的项目有可行性研究和充分论证，</w:t>
      </w:r>
      <w:r>
        <w:rPr>
          <w:rFonts w:hint="eastAsia"/>
          <w:lang w:val="en-US" w:eastAsia="zh-CN"/>
        </w:rPr>
        <w:t>设立的</w:t>
      </w:r>
      <w:r>
        <w:rPr>
          <w:rFonts w:hint="eastAsia"/>
        </w:rPr>
        <w:t>绩效目标与部门履职和年度工作任务匹配合理。得</w:t>
      </w:r>
      <w:r>
        <w:rPr>
          <w:rFonts w:hint="eastAsia"/>
          <w:lang w:val="en-US" w:eastAsia="zh-CN"/>
        </w:rPr>
        <w:t>6</w:t>
      </w:r>
      <w:r>
        <w:rPr>
          <w:rFonts w:hint="eastAsia"/>
        </w:rPr>
        <w:t>分。</w:t>
      </w:r>
    </w:p>
    <w:p w14:paraId="4B4F0EE8">
      <w:pPr>
        <w:ind w:firstLine="616" w:firstLineChars="200"/>
      </w:pPr>
      <w:r>
        <w:rPr>
          <w:rFonts w:hint="eastAsia"/>
        </w:rPr>
        <w:t>（2）绩效目标完整性。</w:t>
      </w:r>
    </w:p>
    <w:p w14:paraId="39771C44">
      <w:pPr>
        <w:ind w:firstLine="616" w:firstLineChars="200"/>
      </w:pPr>
      <w:r>
        <w:rPr>
          <w:rFonts w:hint="eastAsia"/>
        </w:rPr>
        <w:t>我局按要求设置并申报部门整体绩效目标及项目绩效目标，内容覆盖全面、完整准确。得2分。</w:t>
      </w:r>
    </w:p>
    <w:p w14:paraId="695AAD5F">
      <w:pPr>
        <w:ind w:firstLine="616" w:firstLineChars="200"/>
      </w:pPr>
      <w:r>
        <w:rPr>
          <w:rFonts w:hint="eastAsia"/>
        </w:rPr>
        <w:t>（3）绩效指标明确性。</w:t>
      </w:r>
    </w:p>
    <w:p w14:paraId="116CE44E">
      <w:pPr>
        <w:ind w:firstLine="924" w:firstLineChars="300"/>
        <w:rPr>
          <w:rFonts w:hint="eastAsia"/>
        </w:rPr>
      </w:pPr>
      <w:r>
        <w:rPr>
          <w:rFonts w:hint="eastAsia"/>
        </w:rPr>
        <w:t>我局依据整体绩效目标所设定的绩效指标清晰、细化、可量化，绩效指标中包含能够明确体现部门履职效果的社会经济效益指标。得4分</w:t>
      </w:r>
      <w:r>
        <w:rPr>
          <w:rFonts w:hint="eastAsia" w:ascii="仿宋_GB2312" w:hAnsi="仿宋_GB2312" w:cs="仿宋_GB2312"/>
          <w:szCs w:val="32"/>
        </w:rPr>
        <w:t>。</w:t>
      </w:r>
    </w:p>
    <w:p w14:paraId="4BB189BC">
      <w:pPr>
        <w:ind w:firstLine="616" w:firstLineChars="200"/>
        <w:rPr>
          <w:b/>
        </w:rPr>
      </w:pPr>
      <w:r>
        <w:rPr>
          <w:rFonts w:hint="eastAsia"/>
          <w:b/>
        </w:rPr>
        <w:t>（二）预算执行情况</w:t>
      </w:r>
      <w:bookmarkEnd w:id="18"/>
      <w:bookmarkEnd w:id="19"/>
      <w:bookmarkEnd w:id="20"/>
      <w:bookmarkEnd w:id="21"/>
      <w:r>
        <w:rPr>
          <w:rFonts w:hint="eastAsia"/>
          <w:b/>
        </w:rPr>
        <w:t>。</w:t>
      </w:r>
    </w:p>
    <w:p w14:paraId="5541F80A">
      <w:pPr>
        <w:spacing w:line="560" w:lineRule="exact"/>
        <w:ind w:firstLine="616" w:firstLineChars="200"/>
      </w:pPr>
      <w:r>
        <w:rPr>
          <w:rFonts w:hint="eastAsia" w:ascii="仿宋_GB2312" w:hAnsi="仿宋_GB2312" w:cs="仿宋_GB2312"/>
          <w:szCs w:val="32"/>
          <w:lang w:bidi="ar"/>
        </w:rPr>
        <w:t>1.制度管理。</w:t>
      </w:r>
      <w:r>
        <w:rPr>
          <w:rFonts w:hint="eastAsia"/>
        </w:rPr>
        <w:t>权重5分，自评</w:t>
      </w:r>
      <w:r>
        <w:rPr>
          <w:rFonts w:hint="eastAsia"/>
          <w:lang w:val="en-US" w:eastAsia="zh-CN"/>
        </w:rPr>
        <w:t>4</w:t>
      </w:r>
      <w:r>
        <w:rPr>
          <w:rFonts w:hint="eastAsia"/>
        </w:rPr>
        <w:t>分。</w:t>
      </w:r>
    </w:p>
    <w:p w14:paraId="41F58E90">
      <w:pPr>
        <w:ind w:firstLine="616" w:firstLineChars="200"/>
        <w:rPr>
          <w:rFonts w:ascii="仿宋_GB2312" w:hAnsi="仿宋_GB2312" w:cs="仿宋_GB2312"/>
          <w:bCs/>
          <w:szCs w:val="32"/>
          <w:lang w:bidi="ar"/>
        </w:rPr>
      </w:pPr>
      <w:r>
        <w:rPr>
          <w:rFonts w:hint="eastAsia"/>
        </w:rPr>
        <w:t>我局制订了财政资金管理、内部财务、项目管理等制度以及实施方案或计划的，且相关管理制度等得到有效执行</w:t>
      </w:r>
      <w:r>
        <w:rPr>
          <w:rFonts w:hint="eastAsia" w:ascii="仿宋_GB2312" w:hAnsi="仿宋_GB2312" w:cs="仿宋_GB2312"/>
          <w:bCs/>
          <w:szCs w:val="32"/>
        </w:rPr>
        <w:t>。</w:t>
      </w:r>
    </w:p>
    <w:p w14:paraId="59FE6D28">
      <w:pPr>
        <w:spacing w:line="560" w:lineRule="exact"/>
        <w:ind w:firstLine="616" w:firstLineChars="200"/>
        <w:rPr>
          <w:rFonts w:ascii="仿宋_GB2312" w:hAnsi="仿宋_GB2312" w:cs="仿宋_GB2312"/>
          <w:bCs/>
          <w:szCs w:val="32"/>
        </w:rPr>
      </w:pPr>
      <w:bookmarkStart w:id="22" w:name="_Toc20443_WPSOffice_Level3"/>
      <w:bookmarkStart w:id="23" w:name="_Toc14900"/>
      <w:bookmarkStart w:id="24" w:name="_Toc26860"/>
      <w:bookmarkStart w:id="25" w:name="_Toc15901_WPSOffice_Level2"/>
      <w:r>
        <w:rPr>
          <w:rFonts w:hint="eastAsia" w:ascii="仿宋_GB2312" w:hAnsi="仿宋_GB2312" w:cs="仿宋_GB2312"/>
          <w:szCs w:val="32"/>
        </w:rPr>
        <w:t>2.资金管理。</w:t>
      </w:r>
      <w:r>
        <w:rPr>
          <w:rFonts w:hint="eastAsia" w:ascii="仿宋_GB2312" w:hAnsi="仿宋_GB2312" w:cs="仿宋_GB2312"/>
          <w:bCs/>
          <w:szCs w:val="32"/>
        </w:rPr>
        <w:t>权重20分，自评</w:t>
      </w:r>
      <w:r>
        <w:rPr>
          <w:rFonts w:hint="eastAsia" w:ascii="仿宋_GB2312" w:hAnsi="仿宋_GB2312" w:cs="仿宋_GB2312"/>
          <w:bCs/>
          <w:szCs w:val="32"/>
          <w:lang w:val="en-US" w:eastAsia="zh-CN"/>
        </w:rPr>
        <w:t>15.5</w:t>
      </w:r>
      <w:r>
        <w:rPr>
          <w:rFonts w:hint="eastAsia" w:ascii="仿宋_GB2312" w:hAnsi="仿宋_GB2312" w:cs="仿宋_GB2312"/>
          <w:bCs/>
          <w:szCs w:val="32"/>
        </w:rPr>
        <w:t>分。</w:t>
      </w:r>
    </w:p>
    <w:p w14:paraId="370246A6">
      <w:pPr>
        <w:ind w:firstLine="616" w:firstLineChars="200"/>
        <w:rPr>
          <w:rFonts w:ascii="仿宋_GB2312" w:hAnsi="仿宋_GB2312" w:cs="仿宋_GB2312"/>
          <w:bCs/>
          <w:szCs w:val="32"/>
        </w:rPr>
      </w:pPr>
      <w:r>
        <w:rPr>
          <w:rFonts w:hint="eastAsia" w:ascii="仿宋_GB2312" w:hAnsi="仿宋_GB2312" w:cs="仿宋_GB2312"/>
          <w:bCs/>
          <w:szCs w:val="32"/>
        </w:rPr>
        <w:t>（1）资金下达合规性。</w:t>
      </w:r>
    </w:p>
    <w:p w14:paraId="5C2A2151">
      <w:pPr>
        <w:ind w:firstLine="616" w:firstLineChars="200"/>
        <w:rPr>
          <w:rFonts w:ascii="仿宋_GB2312" w:hAnsi="仿宋_GB2312" w:cs="仿宋_GB2312"/>
          <w:bCs/>
          <w:szCs w:val="32"/>
        </w:rPr>
      </w:pPr>
      <w:r>
        <w:rPr>
          <w:rFonts w:hint="eastAsia" w:ascii="仿宋_GB2312" w:hAnsi="仿宋_GB2312" w:cs="仿宋_GB2312"/>
          <w:bCs/>
          <w:szCs w:val="32"/>
        </w:rPr>
        <w:t>我局能够及时下达主管的一般性转移支付和专项转移支付，也能及时批复下属单位的预算。得2分。</w:t>
      </w:r>
    </w:p>
    <w:p w14:paraId="16D398BF">
      <w:pPr>
        <w:ind w:firstLine="616" w:firstLineChars="200"/>
        <w:rPr>
          <w:rFonts w:ascii="仿宋_GB2312" w:hAnsi="仿宋_GB2312" w:cs="仿宋_GB2312"/>
          <w:bCs/>
          <w:szCs w:val="32"/>
        </w:rPr>
      </w:pPr>
      <w:r>
        <w:rPr>
          <w:rFonts w:hint="eastAsia" w:ascii="仿宋_GB2312" w:hAnsi="仿宋_GB2312" w:cs="仿宋_GB2312"/>
          <w:bCs/>
          <w:szCs w:val="32"/>
        </w:rPr>
        <w:t>（2）部门预算资金支出完成率。</w:t>
      </w:r>
    </w:p>
    <w:p w14:paraId="52E03BBB">
      <w:pPr>
        <w:ind w:firstLine="616" w:firstLineChars="200"/>
        <w:rPr>
          <w:rFonts w:ascii="仿宋_GB2312" w:hAnsi="仿宋_GB2312" w:cs="仿宋_GB2312"/>
          <w:bCs/>
          <w:szCs w:val="32"/>
          <w:highlight w:val="yellow"/>
        </w:rPr>
      </w:pPr>
      <w:r>
        <w:rPr>
          <w:rFonts w:hint="eastAsia" w:ascii="仿宋_GB2312" w:hAnsi="仿宋_GB2312" w:cs="仿宋_GB2312"/>
          <w:bCs/>
          <w:szCs w:val="32"/>
          <w:highlight w:val="none"/>
        </w:rPr>
        <w:t>根据公式计算，我局的部门预算资金支出完成率为</w:t>
      </w:r>
      <w:r>
        <w:rPr>
          <w:rFonts w:hint="eastAsia" w:ascii="仿宋_GB2312" w:hAnsi="仿宋_GB2312" w:cs="仿宋_GB2312"/>
          <w:bCs/>
          <w:szCs w:val="32"/>
          <w:highlight w:val="none"/>
          <w:lang w:val="en-US" w:eastAsia="zh-CN"/>
        </w:rPr>
        <w:t>96.73%。</w:t>
      </w:r>
      <w:r>
        <w:rPr>
          <w:rFonts w:hint="eastAsia" w:ascii="仿宋_GB2312" w:hAnsi="仿宋_GB2312" w:cs="仿宋_GB2312"/>
          <w:bCs/>
          <w:szCs w:val="32"/>
          <w:highlight w:val="none"/>
        </w:rPr>
        <w:t>得</w:t>
      </w:r>
      <w:r>
        <w:rPr>
          <w:rFonts w:hint="eastAsia" w:ascii="仿宋_GB2312" w:hAnsi="仿宋_GB2312" w:cs="仿宋_GB2312"/>
          <w:bCs/>
          <w:szCs w:val="32"/>
          <w:highlight w:val="none"/>
          <w:lang w:val="en-US" w:eastAsia="zh-CN"/>
        </w:rPr>
        <w:t>4.84</w:t>
      </w:r>
      <w:r>
        <w:rPr>
          <w:rFonts w:hint="eastAsia" w:ascii="仿宋_GB2312" w:hAnsi="仿宋_GB2312" w:cs="仿宋_GB2312"/>
          <w:bCs/>
          <w:szCs w:val="32"/>
          <w:highlight w:val="none"/>
        </w:rPr>
        <w:t>分。</w:t>
      </w:r>
    </w:p>
    <w:p w14:paraId="6F675418">
      <w:pPr>
        <w:ind w:firstLine="616" w:firstLineChars="200"/>
        <w:rPr>
          <w:rFonts w:ascii="仿宋_GB2312" w:hAnsi="仿宋_GB2312" w:cs="仿宋_GB2312"/>
          <w:bCs/>
          <w:szCs w:val="32"/>
          <w:highlight w:val="none"/>
        </w:rPr>
      </w:pPr>
      <w:r>
        <w:rPr>
          <w:rFonts w:hint="eastAsia" w:ascii="仿宋_GB2312" w:hAnsi="仿宋_GB2312" w:cs="仿宋_GB2312"/>
          <w:bCs/>
          <w:szCs w:val="32"/>
          <w:highlight w:val="none"/>
        </w:rPr>
        <w:t>（3）结转结余率。</w:t>
      </w:r>
    </w:p>
    <w:p w14:paraId="2D63CF5F">
      <w:pPr>
        <w:ind w:firstLine="616" w:firstLineChars="200"/>
        <w:rPr>
          <w:rFonts w:ascii="仿宋_GB2312" w:hAnsi="仿宋_GB2312" w:cs="仿宋_GB2312"/>
          <w:bCs/>
          <w:szCs w:val="32"/>
          <w:highlight w:val="none"/>
        </w:rPr>
      </w:pPr>
      <w:r>
        <w:rPr>
          <w:rFonts w:hint="eastAsia" w:ascii="仿宋_GB2312" w:hAnsi="仿宋_GB2312" w:cs="仿宋_GB2312"/>
          <w:bCs/>
          <w:szCs w:val="32"/>
          <w:highlight w:val="none"/>
        </w:rPr>
        <w:t>根据公式计算，我局的结转结余率为</w:t>
      </w:r>
      <w:r>
        <w:rPr>
          <w:rFonts w:hint="eastAsia" w:ascii="仿宋_GB2312" w:hAnsi="仿宋_GB2312" w:cs="仿宋_GB2312"/>
          <w:bCs/>
          <w:szCs w:val="32"/>
          <w:highlight w:val="none"/>
          <w:lang w:val="en-US" w:eastAsia="zh-CN"/>
        </w:rPr>
        <w:t>2.44</w:t>
      </w:r>
      <w:r>
        <w:rPr>
          <w:rFonts w:hint="eastAsia" w:ascii="仿宋_GB2312" w:hAnsi="仿宋_GB2312" w:cs="仿宋_GB2312"/>
          <w:bCs/>
          <w:szCs w:val="32"/>
          <w:highlight w:val="none"/>
        </w:rPr>
        <w:t>%，</w:t>
      </w:r>
      <w:r>
        <w:rPr>
          <w:rFonts w:hint="eastAsia" w:ascii="仿宋_GB2312" w:hAnsi="仿宋_GB2312" w:cs="仿宋_GB2312"/>
          <w:bCs/>
          <w:szCs w:val="32"/>
          <w:highlight w:val="none"/>
          <w:lang w:val="en-US" w:eastAsia="zh-CN"/>
        </w:rPr>
        <w:t>小</w:t>
      </w:r>
      <w:r>
        <w:rPr>
          <w:rFonts w:hint="eastAsia" w:ascii="仿宋_GB2312" w:hAnsi="仿宋_GB2312" w:cs="仿宋_GB2312"/>
          <w:bCs/>
          <w:szCs w:val="32"/>
          <w:highlight w:val="none"/>
          <w:lang w:eastAsia="zh-CN"/>
        </w:rPr>
        <w:t>于</w:t>
      </w:r>
      <w:r>
        <w:rPr>
          <w:rFonts w:hint="eastAsia" w:ascii="仿宋_GB2312" w:hAnsi="仿宋_GB2312" w:cs="仿宋_GB2312"/>
          <w:bCs/>
          <w:szCs w:val="32"/>
          <w:highlight w:val="none"/>
          <w:lang w:val="en-US" w:eastAsia="zh-CN"/>
        </w:rPr>
        <w:t>10</w:t>
      </w:r>
      <w:r>
        <w:rPr>
          <w:rFonts w:hint="eastAsia" w:ascii="仿宋_GB2312" w:hAnsi="仿宋_GB2312" w:cs="仿宋_GB2312"/>
          <w:bCs/>
          <w:szCs w:val="32"/>
          <w:highlight w:val="none"/>
        </w:rPr>
        <w:t>%。得</w:t>
      </w:r>
      <w:r>
        <w:rPr>
          <w:rFonts w:hint="eastAsia" w:ascii="仿宋_GB2312" w:hAnsi="仿宋_GB2312" w:cs="仿宋_GB2312"/>
          <w:bCs/>
          <w:szCs w:val="32"/>
          <w:highlight w:val="none"/>
          <w:lang w:val="en-US" w:eastAsia="zh-CN"/>
        </w:rPr>
        <w:t>2</w:t>
      </w:r>
      <w:r>
        <w:rPr>
          <w:rFonts w:hint="eastAsia" w:ascii="仿宋_GB2312" w:hAnsi="仿宋_GB2312" w:cs="仿宋_GB2312"/>
          <w:bCs/>
          <w:szCs w:val="32"/>
          <w:highlight w:val="none"/>
        </w:rPr>
        <w:t>分。</w:t>
      </w:r>
    </w:p>
    <w:p w14:paraId="20B1AAED">
      <w:pPr>
        <w:ind w:firstLine="616" w:firstLineChars="200"/>
        <w:rPr>
          <w:rFonts w:ascii="仿宋_GB2312" w:hAnsi="仿宋_GB2312" w:cs="仿宋_GB2312"/>
          <w:bCs/>
          <w:szCs w:val="32"/>
          <w:highlight w:val="none"/>
        </w:rPr>
      </w:pPr>
      <w:r>
        <w:rPr>
          <w:rFonts w:hint="eastAsia" w:ascii="仿宋_GB2312" w:hAnsi="仿宋_GB2312" w:cs="仿宋_GB2312"/>
          <w:bCs/>
          <w:szCs w:val="32"/>
          <w:highlight w:val="none"/>
        </w:rPr>
        <w:t>（4）政府采购执行情况。</w:t>
      </w:r>
    </w:p>
    <w:p w14:paraId="329BF02F">
      <w:pPr>
        <w:ind w:firstLine="616" w:firstLineChars="200"/>
        <w:rPr>
          <w:rFonts w:hint="eastAsia" w:ascii="仿宋_GB2312" w:hAnsi="仿宋_GB2312" w:cs="仿宋_GB2312"/>
          <w:bCs/>
          <w:szCs w:val="32"/>
          <w:highlight w:val="none"/>
        </w:rPr>
      </w:pPr>
      <w:r>
        <w:rPr>
          <w:rFonts w:hint="eastAsia" w:ascii="仿宋_GB2312" w:hAnsi="仿宋_GB2312" w:cs="仿宋_GB2312"/>
          <w:bCs/>
          <w:szCs w:val="32"/>
          <w:highlight w:val="none"/>
        </w:rPr>
        <w:t>根据公式计算，我局的政府采购执行率为100%。得4分。</w:t>
      </w:r>
    </w:p>
    <w:p w14:paraId="7F97B9F6">
      <w:pPr>
        <w:ind w:firstLine="616" w:firstLineChars="200"/>
        <w:rPr>
          <w:rFonts w:hint="eastAsia" w:ascii="仿宋_GB2312" w:hAnsi="仿宋_GB2312" w:cs="仿宋_GB2312"/>
          <w:bCs/>
          <w:szCs w:val="32"/>
        </w:rPr>
      </w:pPr>
      <w:r>
        <w:rPr>
          <w:rFonts w:hint="eastAsia" w:ascii="仿宋_GB2312" w:hAnsi="仿宋_GB2312" w:cs="仿宋_GB2312"/>
          <w:bCs/>
          <w:szCs w:val="32"/>
        </w:rPr>
        <w:t>（5）财务合规性。</w:t>
      </w:r>
    </w:p>
    <w:p w14:paraId="105EDC2F">
      <w:pPr>
        <w:ind w:firstLine="616" w:firstLineChars="200"/>
        <w:rPr>
          <w:rFonts w:hint="eastAsia" w:ascii="仿宋_GB2312" w:hAnsi="仿宋_GB2312" w:cs="仿宋_GB2312"/>
          <w:bCs/>
          <w:szCs w:val="32"/>
        </w:rPr>
      </w:pPr>
      <w:r>
        <w:rPr>
          <w:rFonts w:hint="eastAsia" w:ascii="仿宋_GB2312" w:hAnsi="仿宋_GB2312" w:cs="仿宋_GB2312"/>
          <w:bCs/>
          <w:szCs w:val="32"/>
        </w:rPr>
        <w:t>我局重大支出需经过集体会议程序决策，资金管理、费用标准、支付符合有关制度规定，不存在超范围、超标准支出、虚列支出，截留、挤占等不符合制度规定情况，规范执行会计核算制度。得4分。</w:t>
      </w:r>
    </w:p>
    <w:p w14:paraId="037F50F7">
      <w:pPr>
        <w:ind w:firstLine="616" w:firstLineChars="200"/>
        <w:rPr>
          <w:rFonts w:hint="eastAsia" w:ascii="仿宋_GB2312" w:hAnsi="仿宋_GB2312" w:cs="仿宋_GB2312"/>
          <w:bCs/>
          <w:szCs w:val="32"/>
        </w:rPr>
      </w:pPr>
      <w:r>
        <w:rPr>
          <w:rFonts w:hint="eastAsia" w:ascii="仿宋_GB2312" w:hAnsi="仿宋_GB2312" w:cs="仿宋_GB2312"/>
          <w:bCs/>
          <w:szCs w:val="32"/>
        </w:rPr>
        <w:t>（6）预决算信息公开性。</w:t>
      </w:r>
    </w:p>
    <w:p w14:paraId="44E32202">
      <w:pPr>
        <w:ind w:firstLine="616" w:firstLineChars="200"/>
        <w:rPr>
          <w:rFonts w:ascii="仿宋_GB2312" w:hAnsi="仿宋_GB2312" w:cs="仿宋_GB2312"/>
          <w:bCs/>
          <w:szCs w:val="32"/>
          <w:lang w:bidi="ar"/>
        </w:rPr>
      </w:pPr>
      <w:r>
        <w:rPr>
          <w:rFonts w:hint="eastAsia" w:ascii="仿宋_GB2312" w:hAnsi="仿宋_GB2312" w:cs="仿宋_GB2312"/>
          <w:bCs/>
          <w:szCs w:val="32"/>
        </w:rPr>
        <w:t>我局的预决算</w:t>
      </w:r>
      <w:r>
        <w:rPr>
          <w:rFonts w:hint="eastAsia" w:ascii="仿宋_GB2312" w:hAnsi="仿宋_GB2312" w:cs="仿宋_GB2312"/>
          <w:bCs/>
          <w:szCs w:val="32"/>
          <w:lang w:val="en-US" w:eastAsia="zh-CN"/>
        </w:rPr>
        <w:t>信息</w:t>
      </w:r>
      <w:r>
        <w:rPr>
          <w:rFonts w:hint="eastAsia" w:ascii="仿宋_GB2312" w:hAnsi="仿宋_GB2312" w:cs="仿宋_GB2312"/>
          <w:bCs/>
          <w:szCs w:val="32"/>
        </w:rPr>
        <w:t>按</w:t>
      </w:r>
      <w:r>
        <w:rPr>
          <w:rFonts w:hint="eastAsia" w:ascii="仿宋_GB2312" w:hAnsi="仿宋_GB2312" w:cs="仿宋_GB2312"/>
          <w:bCs/>
          <w:szCs w:val="32"/>
          <w:lang w:val="en-US" w:eastAsia="zh-CN"/>
        </w:rPr>
        <w:t>照政府信息公开有关规定，</w:t>
      </w:r>
      <w:r>
        <w:rPr>
          <w:rFonts w:hint="eastAsia" w:ascii="仿宋_GB2312" w:hAnsi="仿宋_GB2312" w:cs="仿宋_GB2312"/>
          <w:bCs/>
          <w:szCs w:val="32"/>
        </w:rPr>
        <w:t>在规定时限和范围内公开。得3分。</w:t>
      </w:r>
    </w:p>
    <w:p w14:paraId="53505C94">
      <w:pPr>
        <w:spacing w:line="560" w:lineRule="exact"/>
        <w:ind w:firstLine="616" w:firstLineChars="200"/>
      </w:pPr>
      <w:bookmarkStart w:id="26" w:name="_Toc29827"/>
      <w:r>
        <w:rPr>
          <w:rFonts w:hint="eastAsia" w:ascii="仿宋_GB2312" w:hAnsi="仿宋_GB2312" w:cs="仿宋_GB2312"/>
          <w:szCs w:val="32"/>
        </w:rPr>
        <w:t>3.项目管理。</w:t>
      </w:r>
      <w:r>
        <w:rPr>
          <w:rFonts w:hint="eastAsia"/>
        </w:rPr>
        <w:t>权重8分，自评8分。</w:t>
      </w:r>
    </w:p>
    <w:p w14:paraId="6050A3D9">
      <w:pPr>
        <w:spacing w:line="560" w:lineRule="exact"/>
        <w:ind w:firstLine="616" w:firstLineChars="200"/>
      </w:pPr>
      <w:r>
        <w:rPr>
          <w:rFonts w:hint="eastAsia"/>
        </w:rPr>
        <w:t>（1）项目实施程序。</w:t>
      </w:r>
    </w:p>
    <w:p w14:paraId="7E37CD5C">
      <w:pPr>
        <w:spacing w:line="560" w:lineRule="exact"/>
        <w:ind w:firstLine="616" w:firstLineChars="200"/>
      </w:pPr>
      <w:r>
        <w:rPr>
          <w:rFonts w:hint="eastAsia"/>
        </w:rPr>
        <w:t>我局严格进行项目管理，项目的设立及调整按规定履行报批程序，项目招投标、建设、验收和方案实施严格执行相关制度规定，符合相关的管理办法。得5分。</w:t>
      </w:r>
    </w:p>
    <w:p w14:paraId="7672F444">
      <w:pPr>
        <w:spacing w:line="560" w:lineRule="exact"/>
        <w:ind w:firstLine="616" w:firstLineChars="200"/>
      </w:pPr>
      <w:r>
        <w:rPr>
          <w:rFonts w:hint="eastAsia"/>
        </w:rPr>
        <w:t>（2）项目监管。</w:t>
      </w:r>
    </w:p>
    <w:p w14:paraId="77A8D431">
      <w:pPr>
        <w:ind w:firstLine="924" w:firstLineChars="300"/>
        <w:rPr>
          <w:rFonts w:ascii="仿宋_GB2312" w:hAnsi="仿宋_GB2312" w:cs="仿宋_GB2312"/>
          <w:szCs w:val="32"/>
        </w:rPr>
      </w:pPr>
      <w:r>
        <w:rPr>
          <w:rFonts w:hint="eastAsia"/>
        </w:rPr>
        <w:t>我局对实施的项目认真进行检查、监控和督促，确保项目管理到位。得3分</w:t>
      </w:r>
      <w:r>
        <w:rPr>
          <w:rFonts w:hint="eastAsia" w:ascii="仿宋_GB2312" w:hAnsi="仿宋_GB2312" w:cs="仿宋_GB2312"/>
          <w:szCs w:val="32"/>
        </w:rPr>
        <w:t>。</w:t>
      </w:r>
    </w:p>
    <w:p w14:paraId="6460D47B">
      <w:pPr>
        <w:spacing w:line="560" w:lineRule="exact"/>
        <w:ind w:firstLine="616" w:firstLineChars="200"/>
      </w:pPr>
      <w:r>
        <w:rPr>
          <w:rFonts w:hint="eastAsia" w:ascii="仿宋_GB2312" w:hAnsi="仿宋_GB2312" w:cs="仿宋_GB2312"/>
          <w:szCs w:val="32"/>
        </w:rPr>
        <w:t>4.资产管理。</w:t>
      </w:r>
      <w:r>
        <w:rPr>
          <w:rFonts w:hint="eastAsia"/>
        </w:rPr>
        <w:t>权重7分，自评7分。</w:t>
      </w:r>
    </w:p>
    <w:p w14:paraId="55624069">
      <w:pPr>
        <w:spacing w:line="560" w:lineRule="exact"/>
        <w:ind w:firstLine="616" w:firstLineChars="200"/>
      </w:pPr>
      <w:r>
        <w:rPr>
          <w:rFonts w:hint="eastAsia"/>
        </w:rPr>
        <w:t>（1）资产管理合理性。</w:t>
      </w:r>
    </w:p>
    <w:p w14:paraId="17970176">
      <w:pPr>
        <w:spacing w:line="560" w:lineRule="exact"/>
        <w:ind w:firstLine="616" w:firstLineChars="200"/>
      </w:pPr>
      <w:r>
        <w:rPr>
          <w:rFonts w:hint="eastAsia"/>
        </w:rPr>
        <w:t>资产管理合规、配置合理，使用合规、处置规范。得5分。</w:t>
      </w:r>
    </w:p>
    <w:p w14:paraId="1BFA7EB0">
      <w:pPr>
        <w:spacing w:line="560" w:lineRule="exact"/>
        <w:ind w:firstLine="616" w:firstLineChars="200"/>
      </w:pPr>
      <w:r>
        <w:rPr>
          <w:rFonts w:hint="eastAsia"/>
        </w:rPr>
        <w:t>（2）固定资产利用率。</w:t>
      </w:r>
    </w:p>
    <w:p w14:paraId="3A57B534">
      <w:pPr>
        <w:ind w:firstLine="924" w:firstLineChars="300"/>
        <w:rPr>
          <w:rFonts w:ascii="仿宋_GB2312" w:hAnsi="仿宋_GB2312" w:cs="仿宋_GB2312"/>
          <w:bCs/>
          <w:szCs w:val="32"/>
          <w:highlight w:val="none"/>
        </w:rPr>
      </w:pPr>
      <w:r>
        <w:rPr>
          <w:rFonts w:hint="eastAsia"/>
          <w:lang w:eastAsia="zh-CN"/>
        </w:rPr>
        <w:t>202</w:t>
      </w:r>
      <w:r>
        <w:rPr>
          <w:rFonts w:hint="eastAsia"/>
          <w:lang w:val="en-US" w:eastAsia="zh-CN"/>
        </w:rPr>
        <w:t>5</w:t>
      </w:r>
      <w:r>
        <w:rPr>
          <w:rFonts w:hint="eastAsia"/>
        </w:rPr>
        <w:t>年末全部</w:t>
      </w:r>
      <w:r>
        <w:rPr>
          <w:rFonts w:hint="eastAsia"/>
          <w:highlight w:val="none"/>
        </w:rPr>
        <w:t>固定资产总额</w:t>
      </w:r>
      <w:r>
        <w:rPr>
          <w:rFonts w:hint="eastAsia"/>
          <w:highlight w:val="none"/>
          <w:lang w:val="en-US" w:eastAsia="zh-CN"/>
        </w:rPr>
        <w:t>4073.41</w:t>
      </w:r>
      <w:r>
        <w:rPr>
          <w:rFonts w:hint="eastAsia"/>
          <w:highlight w:val="none"/>
        </w:rPr>
        <w:t>万元，资产配置合理、</w:t>
      </w:r>
      <w:r>
        <w:rPr>
          <w:rFonts w:hint="eastAsia"/>
          <w:highlight w:val="none"/>
          <w:lang w:eastAsia="zh-CN"/>
        </w:rPr>
        <w:t>大多数</w:t>
      </w:r>
      <w:r>
        <w:rPr>
          <w:rFonts w:hint="eastAsia"/>
          <w:highlight w:val="none"/>
        </w:rPr>
        <w:t>保管完整，不存在出租出借资产等情况；固定资产利用率大于90%。得2分</w:t>
      </w:r>
      <w:r>
        <w:rPr>
          <w:rFonts w:hint="eastAsia" w:ascii="仿宋_GB2312" w:hAnsi="仿宋_GB2312" w:cs="仿宋_GB2312"/>
          <w:szCs w:val="32"/>
          <w:highlight w:val="none"/>
        </w:rPr>
        <w:t>。</w:t>
      </w:r>
    </w:p>
    <w:bookmarkEnd w:id="26"/>
    <w:p w14:paraId="461720C4">
      <w:pPr>
        <w:ind w:firstLine="616" w:firstLineChars="200"/>
        <w:rPr>
          <w:b/>
        </w:rPr>
      </w:pPr>
      <w:r>
        <w:rPr>
          <w:rFonts w:hint="eastAsia"/>
          <w:b/>
        </w:rPr>
        <w:t>（三）</w:t>
      </w:r>
      <w:bookmarkEnd w:id="22"/>
      <w:bookmarkEnd w:id="23"/>
      <w:bookmarkEnd w:id="24"/>
      <w:bookmarkEnd w:id="25"/>
      <w:r>
        <w:rPr>
          <w:rFonts w:hint="eastAsia"/>
          <w:b/>
        </w:rPr>
        <w:t>预算使用效益。</w:t>
      </w:r>
    </w:p>
    <w:p w14:paraId="29A74F4A">
      <w:pPr>
        <w:spacing w:line="560" w:lineRule="exact"/>
        <w:ind w:firstLine="616" w:firstLineChars="200"/>
      </w:pPr>
      <w:bookmarkStart w:id="27" w:name="_Toc23861"/>
      <w:bookmarkStart w:id="28" w:name="_Toc18975"/>
      <w:r>
        <w:rPr>
          <w:rFonts w:hint="eastAsia" w:ascii="仿宋_GB2312" w:hAnsi="仿宋_GB2312" w:cs="仿宋_GB2312"/>
          <w:szCs w:val="32"/>
        </w:rPr>
        <w:t>1.经济性。</w:t>
      </w:r>
      <w:r>
        <w:rPr>
          <w:rFonts w:hint="eastAsia"/>
        </w:rPr>
        <w:t>权重5分，自评</w:t>
      </w:r>
      <w:r>
        <w:rPr>
          <w:rFonts w:hint="eastAsia"/>
          <w:lang w:val="en-US" w:eastAsia="zh-CN"/>
        </w:rPr>
        <w:t>5</w:t>
      </w:r>
      <w:r>
        <w:rPr>
          <w:rFonts w:hint="eastAsia"/>
        </w:rPr>
        <w:t>分。</w:t>
      </w:r>
    </w:p>
    <w:p w14:paraId="7EBE06EC">
      <w:pPr>
        <w:spacing w:line="560" w:lineRule="exact"/>
        <w:ind w:firstLine="616" w:firstLineChars="200"/>
      </w:pPr>
      <w:r>
        <w:rPr>
          <w:rFonts w:hint="eastAsia" w:ascii="仿宋_GB2312" w:hAnsi="华文仿宋" w:cs="仿宋_GB2312"/>
          <w:szCs w:val="32"/>
        </w:rPr>
        <w:t>“三公”经费实际支出数及公用经费决算数均在预算范围内，对机构运转成本的实际控制较好。</w:t>
      </w:r>
    </w:p>
    <w:p w14:paraId="07E45913">
      <w:pPr>
        <w:spacing w:line="560" w:lineRule="exact"/>
        <w:ind w:firstLine="616" w:firstLineChars="200"/>
      </w:pPr>
      <w:r>
        <w:rPr>
          <w:rFonts w:hint="eastAsia" w:ascii="仿宋_GB2312" w:hAnsi="仿宋_GB2312" w:cs="仿宋_GB2312"/>
          <w:szCs w:val="32"/>
        </w:rPr>
        <w:t>2.效率性。</w:t>
      </w:r>
      <w:r>
        <w:rPr>
          <w:rFonts w:hint="eastAsia"/>
        </w:rPr>
        <w:t>权重10分，自评10分。</w:t>
      </w:r>
    </w:p>
    <w:p w14:paraId="3A17DEB8">
      <w:pPr>
        <w:spacing w:line="560" w:lineRule="exact"/>
        <w:ind w:firstLine="616" w:firstLineChars="200"/>
      </w:pPr>
      <w:r>
        <w:rPr>
          <w:rFonts w:hint="eastAsia"/>
        </w:rPr>
        <w:t>（1）项目完成及时性。</w:t>
      </w:r>
    </w:p>
    <w:p w14:paraId="003935D0">
      <w:pPr>
        <w:spacing w:line="560" w:lineRule="exact"/>
        <w:ind w:firstLine="616" w:firstLineChars="200"/>
      </w:pPr>
      <w:r>
        <w:rPr>
          <w:rFonts w:hint="eastAsia"/>
        </w:rPr>
        <w:t>我局</w:t>
      </w:r>
      <w:r>
        <w:rPr>
          <w:rFonts w:hint="eastAsia"/>
          <w:lang w:eastAsia="zh-CN"/>
        </w:rPr>
        <w:t>202</w:t>
      </w:r>
      <w:r>
        <w:rPr>
          <w:rFonts w:hint="eastAsia"/>
          <w:lang w:val="en-US" w:eastAsia="zh-CN"/>
        </w:rPr>
        <w:t>5</w:t>
      </w:r>
      <w:r>
        <w:rPr>
          <w:rFonts w:hint="eastAsia"/>
        </w:rPr>
        <w:t>年预算安排的项目均按计划时间完成。得3分。</w:t>
      </w:r>
    </w:p>
    <w:p w14:paraId="102918EF">
      <w:pPr>
        <w:spacing w:line="560" w:lineRule="exact"/>
        <w:ind w:firstLine="616" w:firstLineChars="200"/>
      </w:pPr>
      <w:r>
        <w:rPr>
          <w:rFonts w:hint="eastAsia"/>
        </w:rPr>
        <w:t>（2）绩效目标完成率。</w:t>
      </w:r>
    </w:p>
    <w:p w14:paraId="7F3D7A77">
      <w:pPr>
        <w:spacing w:line="560" w:lineRule="exact"/>
        <w:ind w:firstLine="616" w:firstLineChars="200"/>
      </w:pPr>
      <w:r>
        <w:rPr>
          <w:rFonts w:hint="eastAsia"/>
        </w:rPr>
        <w:t>我局</w:t>
      </w:r>
      <w:r>
        <w:rPr>
          <w:rFonts w:hint="eastAsia"/>
          <w:lang w:eastAsia="zh-CN"/>
        </w:rPr>
        <w:t>202</w:t>
      </w:r>
      <w:r>
        <w:rPr>
          <w:rFonts w:hint="eastAsia"/>
          <w:lang w:val="en-US" w:eastAsia="zh-CN"/>
        </w:rPr>
        <w:t>5</w:t>
      </w:r>
      <w:r>
        <w:rPr>
          <w:rFonts w:hint="eastAsia"/>
        </w:rPr>
        <w:t>年实现了绩效目标，获得了领导、单位干部的一致认可。得3分。</w:t>
      </w:r>
    </w:p>
    <w:p w14:paraId="75DF5052">
      <w:pPr>
        <w:spacing w:line="560" w:lineRule="exact"/>
        <w:ind w:firstLine="616" w:firstLineChars="200"/>
      </w:pPr>
      <w:r>
        <w:rPr>
          <w:rFonts w:hint="eastAsia"/>
        </w:rPr>
        <w:t>（3）重点任务完成情况。</w:t>
      </w:r>
    </w:p>
    <w:p w14:paraId="260BD3AC">
      <w:pPr>
        <w:ind w:firstLine="616" w:firstLineChars="200"/>
        <w:rPr>
          <w:rFonts w:ascii="仿宋_GB2312" w:hAnsi="仿宋_GB2312" w:cs="仿宋_GB2312"/>
          <w:szCs w:val="32"/>
        </w:rPr>
      </w:pPr>
      <w:r>
        <w:rPr>
          <w:rFonts w:hint="eastAsia"/>
        </w:rPr>
        <w:t>我局</w:t>
      </w:r>
      <w:r>
        <w:rPr>
          <w:rFonts w:hint="eastAsia"/>
          <w:lang w:eastAsia="zh-CN"/>
        </w:rPr>
        <w:t>202</w:t>
      </w:r>
      <w:r>
        <w:rPr>
          <w:rFonts w:hint="eastAsia"/>
          <w:lang w:val="en-US" w:eastAsia="zh-CN"/>
        </w:rPr>
        <w:t>5</w:t>
      </w:r>
      <w:r>
        <w:rPr>
          <w:rFonts w:hint="eastAsia"/>
        </w:rPr>
        <w:t>年完成了县委、政府、人大和上级部门下达或交办的重要事项和工作，取得了较好的成绩。得4分。</w:t>
      </w:r>
    </w:p>
    <w:p w14:paraId="317F0566">
      <w:pPr>
        <w:spacing w:line="560" w:lineRule="exact"/>
        <w:ind w:firstLine="616" w:firstLineChars="200"/>
      </w:pPr>
      <w:r>
        <w:rPr>
          <w:rFonts w:hint="eastAsia" w:ascii="仿宋_GB2312" w:hAnsi="仿宋_GB2312" w:cs="仿宋_GB2312"/>
          <w:szCs w:val="32"/>
        </w:rPr>
        <w:t>3.效果性。</w:t>
      </w:r>
      <w:r>
        <w:rPr>
          <w:rFonts w:hint="eastAsia"/>
        </w:rPr>
        <w:t>权重20分，自评</w:t>
      </w:r>
      <w:r>
        <w:rPr>
          <w:rFonts w:hint="eastAsia"/>
          <w:lang w:val="en-US" w:eastAsia="zh-CN"/>
        </w:rPr>
        <w:t>19</w:t>
      </w:r>
      <w:r>
        <w:rPr>
          <w:rFonts w:hint="eastAsia"/>
        </w:rPr>
        <w:t>分。</w:t>
      </w:r>
    </w:p>
    <w:p w14:paraId="201D3319">
      <w:pPr>
        <w:spacing w:line="560" w:lineRule="exact"/>
        <w:ind w:firstLine="616" w:firstLineChars="200"/>
      </w:pPr>
      <w:r>
        <w:rPr>
          <w:rFonts w:hint="eastAsia"/>
        </w:rPr>
        <w:t>我局</w:t>
      </w:r>
      <w:r>
        <w:rPr>
          <w:rFonts w:hint="eastAsia"/>
          <w:lang w:eastAsia="zh-CN"/>
        </w:rPr>
        <w:t>202</w:t>
      </w:r>
      <w:r>
        <w:rPr>
          <w:rFonts w:hint="eastAsia"/>
          <w:lang w:val="en-US" w:eastAsia="zh-CN"/>
        </w:rPr>
        <w:t>5</w:t>
      </w:r>
      <w:r>
        <w:rPr>
          <w:rFonts w:hint="eastAsia"/>
        </w:rPr>
        <w:t>年度根据“三定”方案确定的职责，立足绩效目标的设立情况，在经济、社会、</w:t>
      </w:r>
      <w:r>
        <w:rPr>
          <w:rFonts w:hint="eastAsia"/>
          <w:lang w:val="en-US" w:eastAsia="zh-CN"/>
        </w:rPr>
        <w:t>生态</w:t>
      </w:r>
      <w:r>
        <w:rPr>
          <w:rFonts w:hint="eastAsia"/>
        </w:rPr>
        <w:t>环境三个方面取得了较好的效益。在部门履职方面，我局按照县委县政府的要求较好完成了年度重点工作。得</w:t>
      </w:r>
      <w:r>
        <w:rPr>
          <w:rFonts w:hint="eastAsia"/>
          <w:lang w:val="en-US" w:eastAsia="zh-CN"/>
        </w:rPr>
        <w:t>19</w:t>
      </w:r>
      <w:r>
        <w:rPr>
          <w:rFonts w:hint="eastAsia"/>
        </w:rPr>
        <w:t>分。</w:t>
      </w:r>
    </w:p>
    <w:p w14:paraId="3837F36F">
      <w:pPr>
        <w:spacing w:line="560" w:lineRule="exact"/>
        <w:ind w:firstLine="616" w:firstLineChars="200"/>
      </w:pPr>
      <w:r>
        <w:rPr>
          <w:rFonts w:hint="eastAsia" w:ascii="仿宋_GB2312" w:hAnsi="仿宋_GB2312" w:cs="仿宋_GB2312"/>
          <w:szCs w:val="32"/>
        </w:rPr>
        <w:t>4</w:t>
      </w:r>
      <w:r>
        <w:rPr>
          <w:rFonts w:hint="eastAsia" w:ascii="仿宋_GB2312" w:hAnsi="仿宋_GB2312" w:cs="仿宋_GB2312"/>
          <w:szCs w:val="32"/>
          <w:highlight w:val="none"/>
        </w:rPr>
        <w:t>.公平性。</w:t>
      </w:r>
      <w:r>
        <w:rPr>
          <w:rFonts w:hint="eastAsia"/>
          <w:highlight w:val="none"/>
        </w:rPr>
        <w:t>权重5</w:t>
      </w:r>
      <w:r>
        <w:rPr>
          <w:rFonts w:hint="eastAsia"/>
        </w:rPr>
        <w:t>分，自评5分。</w:t>
      </w:r>
    </w:p>
    <w:p w14:paraId="6F8ACF96">
      <w:pPr>
        <w:spacing w:line="560" w:lineRule="exact"/>
        <w:ind w:firstLine="616" w:firstLineChars="200"/>
      </w:pPr>
      <w:r>
        <w:rPr>
          <w:rFonts w:hint="eastAsia"/>
        </w:rPr>
        <w:t>（1）群众信访办理情况。</w:t>
      </w:r>
    </w:p>
    <w:p w14:paraId="04A99CD7">
      <w:pPr>
        <w:spacing w:line="560" w:lineRule="exact"/>
        <w:ind w:firstLine="616" w:firstLineChars="200"/>
      </w:pPr>
      <w:r>
        <w:rPr>
          <w:rFonts w:hint="eastAsia"/>
        </w:rPr>
        <w:t>我局建立了便利的群众意见反映渠道和群众意见办理回复机制</w:t>
      </w:r>
      <w:r>
        <w:rPr>
          <w:rFonts w:hint="eastAsia"/>
          <w:lang w:eastAsia="zh-CN"/>
        </w:rPr>
        <w:t>，</w:t>
      </w:r>
      <w:r>
        <w:rPr>
          <w:rFonts w:hint="eastAsia"/>
          <w:lang w:val="en-US" w:eastAsia="zh-CN"/>
        </w:rPr>
        <w:t>但</w:t>
      </w:r>
      <w:r>
        <w:rPr>
          <w:rFonts w:hint="eastAsia"/>
          <w:lang w:eastAsia="zh-CN"/>
        </w:rPr>
        <w:t>202</w:t>
      </w:r>
      <w:r>
        <w:rPr>
          <w:rFonts w:hint="eastAsia"/>
          <w:lang w:val="en-US" w:eastAsia="zh-CN"/>
        </w:rPr>
        <w:t>5</w:t>
      </w:r>
      <w:r>
        <w:rPr>
          <w:rFonts w:hint="eastAsia"/>
        </w:rPr>
        <w:t>年</w:t>
      </w:r>
      <w:r>
        <w:rPr>
          <w:rFonts w:hint="eastAsia"/>
          <w:lang w:val="en-US" w:eastAsia="zh-CN"/>
        </w:rPr>
        <w:t>无群众信访</w:t>
      </w:r>
      <w:r>
        <w:rPr>
          <w:rFonts w:hint="eastAsia"/>
        </w:rPr>
        <w:t>。得2分。</w:t>
      </w:r>
    </w:p>
    <w:p w14:paraId="4E79D909">
      <w:pPr>
        <w:spacing w:line="560" w:lineRule="exact"/>
        <w:ind w:firstLine="616" w:firstLineChars="200"/>
      </w:pPr>
      <w:r>
        <w:rPr>
          <w:rFonts w:hint="eastAsia"/>
        </w:rPr>
        <w:t>（2）公众或服务对象满意度。</w:t>
      </w:r>
    </w:p>
    <w:p w14:paraId="2FAA4BEC">
      <w:pPr>
        <w:ind w:firstLine="924" w:firstLineChars="300"/>
        <w:rPr>
          <w:rFonts w:ascii="仿宋_GB2312" w:hAnsi="仿宋_GB2312" w:cs="仿宋_GB2312"/>
          <w:szCs w:val="32"/>
          <w:lang w:bidi="ar"/>
        </w:rPr>
      </w:pPr>
      <w:r>
        <w:rPr>
          <w:rFonts w:hint="eastAsia"/>
        </w:rPr>
        <w:t>我局</w:t>
      </w:r>
      <w:r>
        <w:rPr>
          <w:rFonts w:hint="eastAsia"/>
          <w:lang w:eastAsia="zh-CN"/>
        </w:rPr>
        <w:t>202</w:t>
      </w:r>
      <w:r>
        <w:rPr>
          <w:rFonts w:hint="eastAsia"/>
          <w:lang w:val="en-US" w:eastAsia="zh-CN"/>
        </w:rPr>
        <w:t>5</w:t>
      </w:r>
      <w:r>
        <w:rPr>
          <w:rFonts w:hint="eastAsia"/>
        </w:rPr>
        <w:t>年较好地完成了各项工作和各项日常基础工作，获得了领导、群众和服务对象的一致好评。得3分</w:t>
      </w:r>
      <w:r>
        <w:rPr>
          <w:rFonts w:hint="eastAsia" w:ascii="仿宋_GB2312" w:hAnsi="仿宋_GB2312" w:cs="仿宋_GB2312"/>
          <w:szCs w:val="32"/>
        </w:rPr>
        <w:t>。</w:t>
      </w:r>
      <w:bookmarkEnd w:id="27"/>
    </w:p>
    <w:p w14:paraId="682C72C5">
      <w:pPr>
        <w:ind w:firstLine="616" w:firstLineChars="200"/>
        <w:rPr>
          <w:rFonts w:ascii="方正小标宋简体" w:eastAsia="方正小标宋简体"/>
        </w:rPr>
      </w:pPr>
      <w:r>
        <w:rPr>
          <w:rFonts w:hint="eastAsia" w:ascii="方正小标宋简体" w:eastAsia="方正小标宋简体"/>
        </w:rPr>
        <w:t>四、存在的问题、原因分析及改进措施</w:t>
      </w:r>
    </w:p>
    <w:p w14:paraId="451DD484">
      <w:pPr>
        <w:spacing w:line="530" w:lineRule="exact"/>
        <w:ind w:firstLine="604" w:firstLineChars="196"/>
        <w:rPr>
          <w:highlight w:val="yellow"/>
        </w:rPr>
      </w:pPr>
      <w:r>
        <w:rPr>
          <w:highlight w:val="none"/>
        </w:rPr>
        <w:t>总体来看</w:t>
      </w:r>
      <w:r>
        <w:rPr>
          <w:rFonts w:hint="eastAsia"/>
          <w:highlight w:val="none"/>
        </w:rPr>
        <w:t>，我局</w:t>
      </w:r>
      <w:r>
        <w:rPr>
          <w:highlight w:val="none"/>
        </w:rPr>
        <w:t>的部门整体支出科学高效、合法法规</w:t>
      </w:r>
      <w:r>
        <w:rPr>
          <w:rFonts w:hint="eastAsia"/>
          <w:highlight w:val="none"/>
        </w:rPr>
        <w:t>，</w:t>
      </w:r>
      <w:r>
        <w:rPr>
          <w:highlight w:val="none"/>
        </w:rPr>
        <w:t>能够认真落实</w:t>
      </w:r>
      <w:r>
        <w:rPr>
          <w:rFonts w:hint="eastAsia"/>
          <w:highlight w:val="none"/>
        </w:rPr>
        <w:t>“</w:t>
      </w:r>
      <w:r>
        <w:rPr>
          <w:highlight w:val="none"/>
        </w:rPr>
        <w:t>过紧日子</w:t>
      </w:r>
      <w:r>
        <w:rPr>
          <w:rFonts w:hint="eastAsia"/>
          <w:highlight w:val="none"/>
        </w:rPr>
        <w:t>”</w:t>
      </w:r>
      <w:r>
        <w:rPr>
          <w:highlight w:val="none"/>
        </w:rPr>
        <w:t>的要求</w:t>
      </w:r>
      <w:r>
        <w:rPr>
          <w:rFonts w:hint="eastAsia"/>
          <w:highlight w:val="none"/>
        </w:rPr>
        <w:t>，</w:t>
      </w:r>
      <w:r>
        <w:rPr>
          <w:highlight w:val="none"/>
        </w:rPr>
        <w:t>合理安排和分配资金</w:t>
      </w:r>
      <w:r>
        <w:rPr>
          <w:rFonts w:hint="eastAsia"/>
          <w:highlight w:val="none"/>
        </w:rPr>
        <w:t>，</w:t>
      </w:r>
      <w:r>
        <w:rPr>
          <w:highlight w:val="none"/>
        </w:rPr>
        <w:t>把资金用在刀刃上</w:t>
      </w:r>
      <w:r>
        <w:rPr>
          <w:rFonts w:hint="eastAsia"/>
          <w:highlight w:val="none"/>
        </w:rPr>
        <w:t>，</w:t>
      </w:r>
      <w:r>
        <w:rPr>
          <w:highlight w:val="none"/>
        </w:rPr>
        <w:t>解决了</w:t>
      </w:r>
      <w:r>
        <w:rPr>
          <w:rFonts w:hint="eastAsia"/>
          <w:highlight w:val="none"/>
        </w:rPr>
        <w:t>许</w:t>
      </w:r>
      <w:r>
        <w:rPr>
          <w:highlight w:val="none"/>
        </w:rPr>
        <w:t>多现实问题</w:t>
      </w:r>
      <w:r>
        <w:rPr>
          <w:rFonts w:hint="eastAsia"/>
          <w:highlight w:val="none"/>
        </w:rPr>
        <w:t>，</w:t>
      </w:r>
      <w:r>
        <w:rPr>
          <w:highlight w:val="none"/>
        </w:rPr>
        <w:t>办成了许多</w:t>
      </w:r>
      <w:r>
        <w:rPr>
          <w:rFonts w:hint="eastAsia"/>
          <w:highlight w:val="none"/>
        </w:rPr>
        <w:t>大</w:t>
      </w:r>
      <w:r>
        <w:rPr>
          <w:highlight w:val="none"/>
        </w:rPr>
        <w:t>事好事</w:t>
      </w:r>
      <w:r>
        <w:rPr>
          <w:rFonts w:hint="eastAsia"/>
          <w:highlight w:val="none"/>
        </w:rPr>
        <w:t>，</w:t>
      </w:r>
      <w:r>
        <w:rPr>
          <w:highlight w:val="none"/>
        </w:rPr>
        <w:t>资金使用取到了良好的效果。</w:t>
      </w:r>
      <w:r>
        <w:rPr>
          <w:rFonts w:hint="eastAsia"/>
          <w:highlight w:val="none"/>
        </w:rPr>
        <w:t>但</w:t>
      </w:r>
      <w:r>
        <w:rPr>
          <w:highlight w:val="none"/>
        </w:rPr>
        <w:t>是</w:t>
      </w:r>
      <w:r>
        <w:rPr>
          <w:rFonts w:hint="eastAsia"/>
          <w:highlight w:val="none"/>
        </w:rPr>
        <w:t>，</w:t>
      </w:r>
      <w:r>
        <w:rPr>
          <w:highlight w:val="none"/>
        </w:rPr>
        <w:t>也要看到整体支出管理过程中存在一些问题</w:t>
      </w:r>
      <w:r>
        <w:rPr>
          <w:rFonts w:hint="eastAsia"/>
          <w:highlight w:val="none"/>
        </w:rPr>
        <w:t>。</w:t>
      </w:r>
      <w:r>
        <w:rPr>
          <w:rFonts w:hint="eastAsia" w:ascii="仿宋_GB2312" w:hAnsi="仿宋_GB2312" w:cs="仿宋_GB2312"/>
          <w:b/>
          <w:szCs w:val="32"/>
          <w:highlight w:val="none"/>
        </w:rPr>
        <w:t>一是</w:t>
      </w:r>
      <w:r>
        <w:rPr>
          <w:rFonts w:hint="eastAsia" w:ascii="仿宋_GB2312" w:hAnsi="仿宋_GB2312" w:cs="仿宋_GB2312"/>
          <w:szCs w:val="32"/>
          <w:highlight w:val="none"/>
        </w:rPr>
        <w:t>部分项目仍存在资金尚未落实或资金缺口问题。项目资金申请批复有待进一步加快。</w:t>
      </w:r>
      <w:r>
        <w:rPr>
          <w:rFonts w:hint="eastAsia" w:ascii="仿宋_GB2312" w:hAnsi="仿宋_GB2312" w:cs="仿宋_GB2312"/>
          <w:b/>
          <w:bCs/>
          <w:szCs w:val="32"/>
          <w:highlight w:val="none"/>
        </w:rPr>
        <w:t>二是</w:t>
      </w:r>
      <w:r>
        <w:rPr>
          <w:rFonts w:hint="eastAsia" w:ascii="仿宋_GB2312" w:hAnsi="仿宋_GB2312" w:cs="仿宋_GB2312"/>
          <w:szCs w:val="32"/>
          <w:highlight w:val="none"/>
        </w:rPr>
        <w:t>部分项目推进较慢。受规划设计、资金等因素影响，部分项目存在不少历史遗留问题，影响了部分文旅项目</w:t>
      </w:r>
      <w:r>
        <w:rPr>
          <w:rFonts w:hint="eastAsia" w:ascii="仿宋_GB2312" w:hAnsi="仿宋_GB2312" w:cs="仿宋_GB2312"/>
          <w:szCs w:val="32"/>
          <w:highlight w:val="none"/>
          <w:lang w:val="en-US" w:eastAsia="zh-CN"/>
        </w:rPr>
        <w:t>建设</w:t>
      </w:r>
      <w:r>
        <w:rPr>
          <w:rFonts w:hint="eastAsia" w:ascii="仿宋_GB2312" w:hAnsi="仿宋_GB2312" w:cs="仿宋_GB2312"/>
          <w:szCs w:val="32"/>
          <w:highlight w:val="none"/>
        </w:rPr>
        <w:t>，拖延了建设进度。</w:t>
      </w:r>
      <w:r>
        <w:rPr>
          <w:highlight w:val="none"/>
        </w:rPr>
        <w:t>下一步</w:t>
      </w:r>
      <w:r>
        <w:rPr>
          <w:rFonts w:hint="eastAsia"/>
          <w:highlight w:val="none"/>
        </w:rPr>
        <w:t>，我局</w:t>
      </w:r>
      <w:r>
        <w:rPr>
          <w:highlight w:val="none"/>
        </w:rPr>
        <w:t>将加强监督资金使用单位加快资金使用进度</w:t>
      </w:r>
      <w:r>
        <w:rPr>
          <w:rFonts w:hint="eastAsia"/>
          <w:highlight w:val="none"/>
        </w:rPr>
        <w:t>，</w:t>
      </w:r>
      <w:r>
        <w:rPr>
          <w:highlight w:val="none"/>
        </w:rPr>
        <w:t>充分发挥财政资金的效用</w:t>
      </w:r>
      <w:r>
        <w:rPr>
          <w:rFonts w:hint="eastAsia"/>
          <w:highlight w:val="none"/>
        </w:rPr>
        <w:t>，</w:t>
      </w:r>
      <w:r>
        <w:rPr>
          <w:highlight w:val="none"/>
        </w:rPr>
        <w:t>提升预决算管理的科学化水平</w:t>
      </w:r>
      <w:r>
        <w:rPr>
          <w:rFonts w:hint="eastAsia"/>
          <w:highlight w:val="none"/>
        </w:rPr>
        <w:t>，</w:t>
      </w:r>
      <w:r>
        <w:rPr>
          <w:highlight w:val="none"/>
        </w:rPr>
        <w:t>提升资金使用管理的精准化水平</w:t>
      </w:r>
      <w:r>
        <w:rPr>
          <w:rFonts w:hint="eastAsia"/>
          <w:highlight w:val="none"/>
        </w:rPr>
        <w:t>，</w:t>
      </w:r>
      <w:r>
        <w:rPr>
          <w:highlight w:val="none"/>
        </w:rPr>
        <w:t>让工作更上新台阶</w:t>
      </w:r>
      <w:r>
        <w:rPr>
          <w:rFonts w:hint="eastAsia"/>
          <w:highlight w:val="none"/>
        </w:rPr>
        <w:t>。</w:t>
      </w:r>
    </w:p>
    <w:bookmarkEnd w:id="28"/>
    <w:p w14:paraId="45EE8D2F"/>
    <w:sectPr>
      <w:headerReference r:id="rId3" w:type="default"/>
      <w:pgSz w:w="11906" w:h="16838"/>
      <w:pgMar w:top="1701" w:right="1588" w:bottom="1644" w:left="1701" w:header="851" w:footer="992" w:gutter="0"/>
      <w:cols w:space="425" w:num="1"/>
      <w:docGrid w:type="linesAndChars" w:linePitch="562" w:charSpace="-25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仿宋_GB2312">
    <w:altName w:val="方正仿宋_GBK"/>
    <w:panose1 w:val="02000000000000000000"/>
    <w:charset w:val="00"/>
    <w:family w:val="auto"/>
    <w:pitch w:val="default"/>
    <w:sig w:usb0="00000000" w:usb1="00000000" w:usb2="00000012" w:usb3="00000000" w:csb0="00040001" w:csb1="00000000"/>
  </w:font>
  <w:font w:name="华文仿宋">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AAABD">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54"/>
  <w:drawingGridVerticalSpacing w:val="281"/>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04CD"/>
    <w:rsid w:val="00007A67"/>
    <w:rsid w:val="00022542"/>
    <w:rsid w:val="000258AA"/>
    <w:rsid w:val="000D1E99"/>
    <w:rsid w:val="0012286D"/>
    <w:rsid w:val="00132593"/>
    <w:rsid w:val="00145B76"/>
    <w:rsid w:val="00170E39"/>
    <w:rsid w:val="001834A3"/>
    <w:rsid w:val="00195019"/>
    <w:rsid w:val="001B111B"/>
    <w:rsid w:val="001B4856"/>
    <w:rsid w:val="001D33F5"/>
    <w:rsid w:val="001E1FDF"/>
    <w:rsid w:val="001F096B"/>
    <w:rsid w:val="0022603D"/>
    <w:rsid w:val="00235EDE"/>
    <w:rsid w:val="002A7F8F"/>
    <w:rsid w:val="002C4D92"/>
    <w:rsid w:val="002D7EDF"/>
    <w:rsid w:val="002E516E"/>
    <w:rsid w:val="002E5CB6"/>
    <w:rsid w:val="002F1311"/>
    <w:rsid w:val="00314DC0"/>
    <w:rsid w:val="00331AA1"/>
    <w:rsid w:val="00347820"/>
    <w:rsid w:val="00347914"/>
    <w:rsid w:val="00395359"/>
    <w:rsid w:val="003B7E05"/>
    <w:rsid w:val="004078CE"/>
    <w:rsid w:val="00410146"/>
    <w:rsid w:val="00413B2F"/>
    <w:rsid w:val="00421D22"/>
    <w:rsid w:val="0043014F"/>
    <w:rsid w:val="004531CF"/>
    <w:rsid w:val="004749F5"/>
    <w:rsid w:val="00486009"/>
    <w:rsid w:val="004B2E77"/>
    <w:rsid w:val="004D35D6"/>
    <w:rsid w:val="004D736E"/>
    <w:rsid w:val="00510F6B"/>
    <w:rsid w:val="00537F7E"/>
    <w:rsid w:val="00566EB1"/>
    <w:rsid w:val="00574D73"/>
    <w:rsid w:val="005B06B5"/>
    <w:rsid w:val="005B07DD"/>
    <w:rsid w:val="005B6EB7"/>
    <w:rsid w:val="005B7DAB"/>
    <w:rsid w:val="005C28C3"/>
    <w:rsid w:val="005D4C3F"/>
    <w:rsid w:val="005E6FE2"/>
    <w:rsid w:val="00606F30"/>
    <w:rsid w:val="00620700"/>
    <w:rsid w:val="0062264E"/>
    <w:rsid w:val="006265B7"/>
    <w:rsid w:val="006317C3"/>
    <w:rsid w:val="00665117"/>
    <w:rsid w:val="00675A9A"/>
    <w:rsid w:val="006B0F8D"/>
    <w:rsid w:val="006D4795"/>
    <w:rsid w:val="0074594E"/>
    <w:rsid w:val="00754811"/>
    <w:rsid w:val="007705F1"/>
    <w:rsid w:val="00781B6C"/>
    <w:rsid w:val="0078264B"/>
    <w:rsid w:val="007A7399"/>
    <w:rsid w:val="00804DCB"/>
    <w:rsid w:val="00816A2A"/>
    <w:rsid w:val="008428B2"/>
    <w:rsid w:val="0084340E"/>
    <w:rsid w:val="0086235A"/>
    <w:rsid w:val="00876A57"/>
    <w:rsid w:val="00880F2C"/>
    <w:rsid w:val="008B525A"/>
    <w:rsid w:val="008C30AE"/>
    <w:rsid w:val="008E75C3"/>
    <w:rsid w:val="0090022C"/>
    <w:rsid w:val="00982492"/>
    <w:rsid w:val="00A66BD5"/>
    <w:rsid w:val="00A813BE"/>
    <w:rsid w:val="00A8644D"/>
    <w:rsid w:val="00A91495"/>
    <w:rsid w:val="00AC5B70"/>
    <w:rsid w:val="00AF7207"/>
    <w:rsid w:val="00B05F42"/>
    <w:rsid w:val="00B12D08"/>
    <w:rsid w:val="00B32B1B"/>
    <w:rsid w:val="00B55F8F"/>
    <w:rsid w:val="00BA5204"/>
    <w:rsid w:val="00BF3EFE"/>
    <w:rsid w:val="00BF4502"/>
    <w:rsid w:val="00C005AF"/>
    <w:rsid w:val="00C10A76"/>
    <w:rsid w:val="00C112EA"/>
    <w:rsid w:val="00CD5F4B"/>
    <w:rsid w:val="00D24C0F"/>
    <w:rsid w:val="00D41CC7"/>
    <w:rsid w:val="00D45282"/>
    <w:rsid w:val="00D46575"/>
    <w:rsid w:val="00D67E60"/>
    <w:rsid w:val="00D73EB4"/>
    <w:rsid w:val="00D74AD4"/>
    <w:rsid w:val="00D82FAA"/>
    <w:rsid w:val="00DA04CD"/>
    <w:rsid w:val="00DA43A7"/>
    <w:rsid w:val="00DA5CEB"/>
    <w:rsid w:val="00DC37C4"/>
    <w:rsid w:val="00DC4199"/>
    <w:rsid w:val="00DE17BB"/>
    <w:rsid w:val="00DF7A41"/>
    <w:rsid w:val="00E03302"/>
    <w:rsid w:val="00E21FA4"/>
    <w:rsid w:val="00E23CAC"/>
    <w:rsid w:val="00E3272E"/>
    <w:rsid w:val="00E71A39"/>
    <w:rsid w:val="00E82D5B"/>
    <w:rsid w:val="00EA4E69"/>
    <w:rsid w:val="00EC4520"/>
    <w:rsid w:val="00ED3E32"/>
    <w:rsid w:val="00ED5CA9"/>
    <w:rsid w:val="00F04107"/>
    <w:rsid w:val="00F14CD1"/>
    <w:rsid w:val="00F43167"/>
    <w:rsid w:val="00F43EA4"/>
    <w:rsid w:val="00F57915"/>
    <w:rsid w:val="00FF40BF"/>
    <w:rsid w:val="02354D51"/>
    <w:rsid w:val="039B157F"/>
    <w:rsid w:val="047F7581"/>
    <w:rsid w:val="14873384"/>
    <w:rsid w:val="27927940"/>
    <w:rsid w:val="42C04EDF"/>
    <w:rsid w:val="4AEE06AD"/>
    <w:rsid w:val="54D739CB"/>
    <w:rsid w:val="57CA2524"/>
    <w:rsid w:val="5E8F662C"/>
    <w:rsid w:val="60700A8D"/>
    <w:rsid w:val="67387060"/>
    <w:rsid w:val="68681920"/>
    <w:rsid w:val="6AB35823"/>
    <w:rsid w:val="71DA0880"/>
    <w:rsid w:val="73C8536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val="en-US" w:eastAsia="en-US" w:bidi="ar-SA"/>
    </w:rPr>
  </w:style>
  <w:style w:type="paragraph" w:styleId="3">
    <w:name w:val="Balloon Text"/>
    <w:basedOn w:val="1"/>
    <w:semiHidden/>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8">
    <w:name w:val="_Style 5"/>
    <w:qFormat/>
    <w:uiPriority w:val="0"/>
    <w:pPr>
      <w:widowControl w:val="0"/>
      <w:ind w:firstLine="200" w:firstLineChars="200"/>
      <w:jc w:val="both"/>
    </w:pPr>
    <w:rPr>
      <w:rFonts w:ascii="Calibri" w:hAnsi="Calibri" w:eastAsia="宋体" w:cs="Times New Roman"/>
      <w:kern w:val="2"/>
      <w:sz w:val="24"/>
      <w:szCs w:val="22"/>
      <w:lang w:val="en-US" w:eastAsia="zh-CN" w:bidi="ar-SA"/>
    </w:rPr>
  </w:style>
  <w:style w:type="paragraph" w:customStyle="1" w:styleId="9">
    <w:name w:val="正文首行缩进 21"/>
    <w:basedOn w:val="1"/>
    <w:qFormat/>
    <w:uiPriority w:val="0"/>
    <w:pPr>
      <w:spacing w:line="360" w:lineRule="auto"/>
      <w:ind w:firstLine="420" w:firstLineChars="200"/>
      <w:textAlignment w:val="baseline"/>
    </w:pPr>
    <w:rPr>
      <w:rFonts w:eastAsia="宋体"/>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20</Pages>
  <Words>783</Words>
  <Characters>803</Characters>
  <Lines>6</Lines>
  <Paragraphs>1</Paragraphs>
  <TotalTime>178</TotalTime>
  <ScaleCrop>false</ScaleCrop>
  <LinksUpToDate>false</LinksUpToDate>
  <CharactersWithSpaces>855</CharactersWithSpaces>
  <Application>WPS Office_12.8.2.1114_F1E327BC-269C-435d-A152-05C5408002CA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2020-07-14T16:14:00Z</dcterms:created>
  <dc:creator>苏锦雯</dc:creator>
  <cp:lastModifiedBy>HUAWEI</cp:lastModifiedBy>
  <cp:lastPrinted>2026-09-29T17:13:00Z</cp:lastPrinted>
  <dcterms:modified xsi:type="dcterms:W3CDTF">2026-09-30T16:18:11Z</dcterms:modified>
  <dc:title>附件2-1.市级财政资金绩效自评报告</dc:title>
  <cp:revision>79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2052-12.8.2.1114</vt:lpwstr>
  </property>
  <property fmtid="{D5CDD505-2E9C-101B-9397-08002B2CF9AE}" pid="3" name="ICV">
    <vt:lpwstr>BF47C7B6572CB616C3C5BC6AB9F58977_43</vt:lpwstr>
  </property>
</Properties>
</file>