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4C8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jc w:val="center"/>
        <w:textAlignment w:val="auto"/>
        <w:rPr>
          <w:rFonts w:hint="eastAsia" w:ascii="仿宋" w:hAnsi="仿宋" w:eastAsia="仿宋" w:cs="仿宋"/>
          <w:b w:val="0"/>
          <w:bCs w:val="0"/>
          <w:color w:val="000000"/>
          <w:sz w:val="36"/>
          <w:szCs w:val="36"/>
          <w:lang w:eastAsia="zh-CN"/>
        </w:rPr>
      </w:pPr>
      <w:r>
        <w:rPr>
          <w:rFonts w:hint="eastAsia" w:ascii="方正小标宋简体" w:hAnsi="方正小标宋简体" w:eastAsia="方正小标宋简体" w:cs="方正小标宋简体"/>
          <w:b w:val="0"/>
          <w:bCs w:val="0"/>
          <w:color w:val="000000"/>
          <w:sz w:val="44"/>
          <w:szCs w:val="44"/>
        </w:rPr>
        <w:t>阳西县助力“百县千镇万村高质量发展工程” 公益性项目审批管理工作指引</w:t>
      </w:r>
      <w:r>
        <w:rPr>
          <w:rFonts w:hint="eastAsia" w:ascii="方正小标宋简体" w:hAnsi="方正小标宋简体" w:eastAsia="方正小标宋简体" w:cs="方正小标宋简体"/>
          <w:b w:val="0"/>
          <w:bCs w:val="0"/>
          <w:color w:val="000000"/>
          <w:sz w:val="44"/>
          <w:szCs w:val="44"/>
        </w:rPr>
        <w:br w:type="textWrapping"/>
      </w:r>
      <w:r>
        <w:rPr>
          <w:rFonts w:hint="eastAsia" w:ascii="仿宋" w:hAnsi="仿宋" w:eastAsia="仿宋" w:cs="仿宋"/>
          <w:b w:val="0"/>
          <w:bCs w:val="0"/>
          <w:color w:val="000000"/>
          <w:sz w:val="36"/>
          <w:szCs w:val="36"/>
          <w:lang w:eastAsia="zh-CN"/>
        </w:rPr>
        <w:t>（</w:t>
      </w:r>
      <w:r>
        <w:rPr>
          <w:rFonts w:hint="eastAsia" w:ascii="仿宋" w:hAnsi="仿宋" w:eastAsia="仿宋" w:cs="仿宋"/>
          <w:b w:val="0"/>
          <w:bCs w:val="0"/>
          <w:color w:val="000000"/>
          <w:sz w:val="36"/>
          <w:szCs w:val="36"/>
          <w:lang w:val="en-US" w:eastAsia="zh-CN"/>
        </w:rPr>
        <w:t>征求意见稿</w:t>
      </w:r>
      <w:r>
        <w:rPr>
          <w:rFonts w:hint="eastAsia" w:ascii="仿宋" w:hAnsi="仿宋" w:eastAsia="仿宋" w:cs="仿宋"/>
          <w:b w:val="0"/>
          <w:bCs w:val="0"/>
          <w:color w:val="000000"/>
          <w:sz w:val="36"/>
          <w:szCs w:val="36"/>
          <w:lang w:eastAsia="zh-CN"/>
        </w:rPr>
        <w:t>）</w:t>
      </w:r>
    </w:p>
    <w:p w14:paraId="534FED32">
      <w:pPr>
        <w:rPr>
          <w:rFonts w:hint="eastAsia"/>
        </w:rPr>
      </w:pPr>
    </w:p>
    <w:p w14:paraId="19F35FDB">
      <w:pPr>
        <w:rPr>
          <w:rFonts w:hint="eastAsia"/>
        </w:rPr>
      </w:pPr>
    </w:p>
    <w:p w14:paraId="2C2F4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为深入贯彻落实省、市关于推动建筑业企业助力“百县千镇万村高质量发展工程”（以下简称 “百千万工程”）工作部署，进一步优化我县助力 “百千万工程” 公益性项目（以下简称 “助力项目”）审批手续，规范审批流程，提升项目报建审批效率，加强项目质量安全监管，确保资金使用绩效。根据《阳江市助力</w:t>
      </w:r>
      <w:r>
        <w:rPr>
          <w:rFonts w:hint="eastAsia" w:ascii="仿宋_GB2312" w:hAnsi="仿宋_GB2312" w:eastAsia="仿宋_GB2312" w:cs="仿宋_GB2312"/>
          <w:b w:val="0"/>
          <w:bCs w:val="0"/>
          <w:color w:val="auto"/>
          <w:sz w:val="32"/>
          <w:szCs w:val="32"/>
        </w:rPr>
        <w:t>“百县千镇万村高质量发展工程”公益性项目审批管理工作指引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kern w:val="0"/>
          <w:sz w:val="32"/>
          <w:szCs w:val="32"/>
          <w:lang w:val="en-US" w:eastAsia="zh-CN" w:bidi="ar"/>
        </w:rPr>
        <w:t>结合我县实际，制定本工作指引。</w:t>
      </w:r>
    </w:p>
    <w:p w14:paraId="5472C7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一、工作目标</w:t>
      </w:r>
      <w:bookmarkStart w:id="0" w:name="_GoBack"/>
      <w:bookmarkEnd w:id="0"/>
    </w:p>
    <w:p w14:paraId="09F81F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（一）坚持“能减则减、能免则免、能快则快”的原则，采取分类指导、规范流程、精简环节等方式优化审批程序，推动助力项目加快落地实施。</w:t>
      </w:r>
    </w:p>
    <w:p w14:paraId="3ED828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（二）加强助力项目重要环节监管，做到监管内容明晰、监管手段有效、各方责任明确，确保助力项目设计科学合理、功能贴合需求、质量达到标准、投入可核可查、工期可控可追溯。</w:t>
      </w:r>
    </w:p>
    <w:p w14:paraId="77E6F5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二、实施范围</w:t>
      </w:r>
    </w:p>
    <w:p w14:paraId="1123B2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本指引适用于建筑业企业助力我县“百千万工程”建设，聚焦县、镇、村发展短板弱项，围绕新型城镇化、美丽圩镇、乡村振兴、绿美阳西、风貌示范带建设等重点工作，在《阳西县“百千万工程”公益性项目库》中统筹安排助力的各类公益性项目。</w:t>
      </w:r>
    </w:p>
    <w:p w14:paraId="2A4394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三、改革举措</w:t>
      </w:r>
    </w:p>
    <w:p w14:paraId="50FA60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（一）简化立项用地审批</w:t>
      </w:r>
      <w:r>
        <w:rPr>
          <w:rFonts w:hint="eastAsia" w:ascii="仿宋_GB2312" w:hAnsi="仿宋_GB2312" w:eastAsia="仿宋_GB2312" w:cs="仿宋_GB2312"/>
          <w:color w:val="000000"/>
          <w:sz w:val="32"/>
          <w:szCs w:val="32"/>
          <w:lang w:eastAsia="zh-CN"/>
        </w:rPr>
        <w:t>。</w:t>
      </w:r>
    </w:p>
    <w:p w14:paraId="7BE2AA3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鼓励</w:t>
      </w:r>
      <w:r>
        <w:rPr>
          <w:rFonts w:hint="eastAsia" w:ascii="仿宋_GB2312" w:hAnsi="仿宋_GB2312" w:eastAsia="仿宋_GB2312" w:cs="仿宋_GB2312"/>
          <w:color w:val="000000"/>
          <w:sz w:val="32"/>
          <w:szCs w:val="32"/>
          <w:lang w:val="en-US" w:eastAsia="zh-CN"/>
        </w:rPr>
        <w:t>将</w:t>
      </w:r>
      <w:r>
        <w:rPr>
          <w:rFonts w:hint="eastAsia" w:ascii="仿宋_GB2312" w:hAnsi="仿宋_GB2312" w:eastAsia="仿宋_GB2312" w:cs="仿宋_GB2312"/>
          <w:color w:val="000000"/>
          <w:sz w:val="32"/>
          <w:szCs w:val="32"/>
        </w:rPr>
        <w:t>同类型、建设内容相近的</w:t>
      </w:r>
      <w:r>
        <w:rPr>
          <w:rFonts w:hint="eastAsia" w:ascii="仿宋_GB2312" w:hAnsi="仿宋_GB2312" w:eastAsia="仿宋_GB2312" w:cs="仿宋_GB2312"/>
          <w:color w:val="000000"/>
          <w:sz w:val="32"/>
          <w:szCs w:val="32"/>
          <w:lang w:val="en-US" w:eastAsia="zh-CN"/>
        </w:rPr>
        <w:t>多类型</w:t>
      </w:r>
      <w:r>
        <w:rPr>
          <w:rFonts w:hint="eastAsia" w:ascii="仿宋_GB2312" w:hAnsi="仿宋_GB2312" w:eastAsia="仿宋_GB2312" w:cs="仿宋_GB2312"/>
          <w:color w:val="000000"/>
          <w:sz w:val="32"/>
          <w:szCs w:val="32"/>
        </w:rPr>
        <w:t>助力项目打包立项并统一组织实施；对布局分散、总投资额小于400万元的城乡环境提升、风貌管控提升、公共基础设施升级等投资规模小、技术方案简单、建设内容单一的小额零星项目，推行以镇为单位或多镇捆绑打包模式，简易办理相关审批手续并统一实施，提高审批和建设效率。</w:t>
      </w:r>
    </w:p>
    <w:p w14:paraId="38AFC5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以建筑业企业为项目单位且建设资金全部由企业自筹的助力项目，按企业投资项目管理规定办理备案或核准手续；属政府投资的助力项目，按照政府投资项目管理相关规定办理审批手续。</w:t>
      </w:r>
    </w:p>
    <w:p w14:paraId="31E501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项目使用土地的证明文件结合我县实际灵活认定，可将不动产权属证书、建设用地规划许可证、建设用地使用权出让合同、国有建设用地划拨决定书、集体建设用地批准文件等，作为项目使用土地的有效证明文件，简化用地证明材料要求。</w:t>
      </w:r>
    </w:p>
    <w:p w14:paraId="10EB6E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3" w:firstLineChars="200"/>
        <w:jc w:val="left"/>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b/>
          <w:bCs/>
          <w:color w:val="000000"/>
          <w:sz w:val="32"/>
          <w:szCs w:val="32"/>
        </w:rPr>
        <w:t>（二）优化工程建设许可</w:t>
      </w:r>
      <w:r>
        <w:rPr>
          <w:rFonts w:hint="eastAsia" w:ascii="仿宋_GB2312" w:hAnsi="仿宋_GB2312" w:eastAsia="仿宋_GB2312" w:cs="仿宋_GB2312"/>
          <w:b/>
          <w:bCs/>
          <w:color w:val="000000"/>
          <w:sz w:val="32"/>
          <w:szCs w:val="32"/>
          <w:lang w:eastAsia="zh-CN"/>
        </w:rPr>
        <w:t>。</w:t>
      </w:r>
    </w:p>
    <w:p w14:paraId="51DE7D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1.在我县城镇开发边界范围内的助力项目，凡符合《阳江市建设工程规划许可豁免项目清单》要求的，无需办理建设工程规划许可证。</w:t>
      </w:r>
    </w:p>
    <w:p w14:paraId="495C54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在符合国土空间规划管控要求，且不影响周边利害关系人合法权益、不改变建筑主体结构、不破坏景观环境、保障公共安全和公共利益的前提下，探索制定县级助力项目建设工程规划许可豁免清单，同步完善后续监管机制，做到放管结合。</w:t>
      </w:r>
    </w:p>
    <w:p w14:paraId="7D2222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3" w:firstLineChars="200"/>
        <w:jc w:val="left"/>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b/>
          <w:bCs/>
          <w:color w:val="000000"/>
          <w:sz w:val="32"/>
          <w:szCs w:val="32"/>
        </w:rPr>
        <w:t>（三）简化施工许可</w:t>
      </w:r>
      <w:r>
        <w:rPr>
          <w:rFonts w:hint="eastAsia" w:ascii="仿宋_GB2312" w:hAnsi="仿宋_GB2312" w:eastAsia="仿宋_GB2312" w:cs="仿宋_GB2312"/>
          <w:b/>
          <w:bCs/>
          <w:color w:val="000000"/>
          <w:sz w:val="32"/>
          <w:szCs w:val="32"/>
          <w:lang w:eastAsia="zh-CN"/>
        </w:rPr>
        <w:t>。</w:t>
      </w:r>
    </w:p>
    <w:p w14:paraId="7EF3879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1.推行施工许可证核发事项</w:t>
      </w:r>
      <w:r>
        <w:rPr>
          <w:rFonts w:hint="eastAsia" w:ascii="仿宋_GB2312" w:hAnsi="仿宋_GB2312" w:eastAsia="仿宋_GB2312" w:cs="仿宋_GB2312"/>
          <w:b/>
          <w:bCs/>
          <w:color w:val="000000"/>
          <w:kern w:val="0"/>
          <w:sz w:val="32"/>
          <w:szCs w:val="32"/>
          <w:lang w:val="en-US" w:eastAsia="zh-CN" w:bidi="ar"/>
        </w:rPr>
        <w:t>告知承诺制审批</w:t>
      </w:r>
      <w:r>
        <w:rPr>
          <w:rFonts w:hint="eastAsia" w:ascii="仿宋_GB2312" w:hAnsi="仿宋_GB2312" w:eastAsia="仿宋_GB2312" w:cs="仿宋_GB2312"/>
          <w:color w:val="000000"/>
          <w:kern w:val="0"/>
          <w:sz w:val="32"/>
          <w:szCs w:val="32"/>
          <w:lang w:val="en-US" w:eastAsia="zh-CN" w:bidi="ar"/>
        </w:rPr>
        <w:t>，对我县需办理施工许可的房屋建筑和市政基础设施类助力项目，由建设、勘察、设计单位出具符合质量安全和消防安全性要求的承诺书，并在省施工图审查管理系统上传满足施工需要的施工图设计文件后，</w:t>
      </w:r>
      <w:r>
        <w:rPr>
          <w:rFonts w:hint="eastAsia" w:ascii="仿宋_GB2312" w:hAnsi="仿宋_GB2312" w:eastAsia="仿宋_GB2312" w:cs="仿宋_GB2312"/>
          <w:b/>
          <w:bCs/>
          <w:color w:val="000000"/>
          <w:kern w:val="0"/>
          <w:sz w:val="32"/>
          <w:szCs w:val="32"/>
          <w:lang w:val="en-US" w:eastAsia="zh-CN" w:bidi="ar"/>
        </w:rPr>
        <w:t>审图合格书不作为施工许可前置条件</w:t>
      </w:r>
      <w:r>
        <w:rPr>
          <w:rFonts w:hint="eastAsia" w:ascii="仿宋_GB2312" w:hAnsi="仿宋_GB2312" w:eastAsia="仿宋_GB2312" w:cs="仿宋_GB2312"/>
          <w:color w:val="000000"/>
          <w:kern w:val="0"/>
          <w:sz w:val="32"/>
          <w:szCs w:val="32"/>
          <w:lang w:val="en-US" w:eastAsia="zh-CN" w:bidi="ar"/>
        </w:rPr>
        <w:t>，相关单位承诺在施工许可证核发后 30日内提交审图合格书即可办理。</w:t>
      </w:r>
    </w:p>
    <w:p w14:paraId="556163C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项目申报施工许可时，可凭《建筑业企业助力“百县千镇万村高质量发展工程”协议书》替代资金落实承诺书、预付款支付凭证；凭工程概算书及概算批准文件替代施工合同（若项目使用单位与施工单位另行签订施工合同的，需按要求提供施工合同等相关资料）。未纳入上述简化范围的助力项目，按国家、省、市相关规定办理施工许可手续。</w:t>
      </w:r>
    </w:p>
    <w:p w14:paraId="3650F6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360" w:leftChars="0" w:right="0" w:rightChars="0" w:firstLine="643" w:firstLineChars="200"/>
        <w:jc w:val="left"/>
        <w:textAlignment w:val="auto"/>
        <w:rPr>
          <w:rFonts w:hint="eastAsia" w:ascii="仿宋_GB2312" w:hAnsi="仿宋_GB2312" w:eastAsia="仿宋_GB2312" w:cs="仿宋_GB2312"/>
          <w:b/>
          <w:bCs/>
          <w:color w:val="000000"/>
          <w:sz w:val="32"/>
          <w:szCs w:val="32"/>
          <w:lang w:eastAsia="zh-CN"/>
        </w:rPr>
      </w:pPr>
      <w:r>
        <w:rPr>
          <w:rFonts w:hint="eastAsia" w:ascii="仿宋_GB2312" w:hAnsi="仿宋_GB2312" w:eastAsia="仿宋_GB2312" w:cs="仿宋_GB2312"/>
          <w:b/>
          <w:bCs/>
          <w:color w:val="000000"/>
          <w:sz w:val="32"/>
          <w:szCs w:val="32"/>
        </w:rPr>
        <w:t>（四）优化联合验收</w:t>
      </w:r>
      <w:r>
        <w:rPr>
          <w:rFonts w:hint="eastAsia" w:ascii="仿宋_GB2312" w:hAnsi="仿宋_GB2312" w:eastAsia="仿宋_GB2312" w:cs="仿宋_GB2312"/>
          <w:b/>
          <w:bCs/>
          <w:color w:val="000000"/>
          <w:sz w:val="32"/>
          <w:szCs w:val="32"/>
          <w:lang w:eastAsia="zh-CN"/>
        </w:rPr>
        <w:t>。</w:t>
      </w:r>
    </w:p>
    <w:p w14:paraId="46D2A2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1.结合助力项目建设实际和使用需求，在符合项目整体质量安全要求、达到安全使用条件的前提下，对已满足使用功能的工程项目支持分期验收，验收合格可先行投入使用。</w:t>
      </w:r>
    </w:p>
    <w:p w14:paraId="7CE066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对功能单一、技术要求简单，但验收资料暂未齐全、确需紧急投入使用的简易低风险助力工程项目支持“承诺验收”。在满足安全要求可投入使用的前提下，建设单位可向县相关部门提交书面“承诺验收”申请，经相关部门核实后可提前投入使用，建设单位需在承诺期限内完善所有验收资料及手续。</w:t>
      </w:r>
    </w:p>
    <w:p w14:paraId="62D1F8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3.对于限额以下无需办理施工许可的小型助力工程项目，由项目使用单位牵头，组织勘察、设计、施工、监理等相关单位开展竣工验收，验收合格后方可交付使用。</w:t>
      </w:r>
    </w:p>
    <w:p w14:paraId="7BD60E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四、加强项目监管</w:t>
      </w:r>
    </w:p>
    <w:p w14:paraId="5984D1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（一）加强项目前期管理</w:t>
      </w:r>
      <w:r>
        <w:rPr>
          <w:rFonts w:hint="eastAsia" w:ascii="仿宋_GB2312" w:hAnsi="仿宋_GB2312" w:eastAsia="仿宋_GB2312" w:cs="仿宋_GB2312"/>
          <w:color w:val="000000"/>
          <w:sz w:val="32"/>
          <w:szCs w:val="32"/>
          <w:lang w:eastAsia="zh-CN"/>
        </w:rPr>
        <w:t>。</w:t>
      </w:r>
    </w:p>
    <w:p w14:paraId="03CBD9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项目使用单位、县有关部门要切实加强助力项目前期设计方案、工程概算审核把关工作，重点加强风貌节点设计和镇村公共基础设施设计，聚焦规划合规性、功能适配性、技术规范性、投资合理性及地域特色契合性，从源头保障项目规划科学、设计优质、投资可控，为项目高效落地筑牢前期基础。</w:t>
      </w:r>
    </w:p>
    <w:p w14:paraId="7AF98B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（二）做好施工过程监管</w:t>
      </w:r>
      <w:r>
        <w:rPr>
          <w:rFonts w:hint="eastAsia" w:ascii="仿宋_GB2312" w:hAnsi="仿宋_GB2312" w:eastAsia="仿宋_GB2312" w:cs="仿宋_GB2312"/>
          <w:color w:val="000000"/>
          <w:sz w:val="32"/>
          <w:szCs w:val="32"/>
          <w:lang w:eastAsia="zh-CN"/>
        </w:rPr>
        <w:t>。</w:t>
      </w:r>
    </w:p>
    <w:p w14:paraId="5ABB8C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1.对办理施工许可证的助力项目，由发证机关依法履行建设工程质量安全生产监督管理职责，加强项目施工过程监管。</w:t>
      </w:r>
    </w:p>
    <w:p w14:paraId="29017CF3">
      <w:pPr>
        <w:keepNext w:val="0"/>
        <w:keepLines w:val="0"/>
        <w:widowControl/>
        <w:suppressLineNumbers w:val="0"/>
        <w:ind w:firstLine="640" w:firstLineChars="200"/>
        <w:jc w:val="left"/>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2.</w:t>
      </w:r>
      <w:r>
        <w:rPr>
          <w:rFonts w:hint="eastAsia" w:ascii="仿宋_GB2312" w:hAnsi="仿宋_GB2312" w:eastAsia="仿宋_GB2312" w:cs="仿宋_GB2312"/>
          <w:color w:val="auto"/>
          <w:kern w:val="0"/>
          <w:sz w:val="32"/>
          <w:szCs w:val="32"/>
          <w:lang w:val="en-US" w:eastAsia="zh-CN" w:bidi="ar"/>
        </w:rPr>
        <w:t>限额以下小型工程助力项目，</w:t>
      </w:r>
      <w:r>
        <w:rPr>
          <w:rFonts w:hint="eastAsia" w:ascii="仿宋_GB2312" w:hAnsi="仿宋_GB2312" w:eastAsia="仿宋_GB2312" w:cs="仿宋_GB2312"/>
          <w:b w:val="0"/>
          <w:bCs w:val="0"/>
          <w:color w:val="auto"/>
          <w:kern w:val="0"/>
          <w:sz w:val="32"/>
          <w:szCs w:val="32"/>
          <w:lang w:val="en-US" w:eastAsia="zh-CN" w:bidi="ar"/>
        </w:rPr>
        <w:t>县住房城乡建设管理局</w:t>
      </w:r>
      <w:r>
        <w:rPr>
          <w:rFonts w:hint="eastAsia" w:ascii="仿宋_GB2312" w:hAnsi="仿宋_GB2312" w:eastAsia="仿宋_GB2312" w:cs="仿宋_GB2312"/>
          <w:color w:val="auto"/>
          <w:kern w:val="0"/>
          <w:sz w:val="32"/>
          <w:szCs w:val="32"/>
          <w:lang w:val="en-US" w:eastAsia="zh-CN" w:bidi="ar"/>
        </w:rPr>
        <w:t>负责指导镇政府做好限额以下小型工程安全监管。属地镇政府具体负责限额以下小型工程的施工安全监管，完善相关制度和工作措施，督促项目建设各方主体从严从实履行安全生产主体责任，确保限额以下小型工程的施工安全。</w:t>
      </w:r>
    </w:p>
    <w:p w14:paraId="298D48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3.鼓励限额以下小型助力项目参建单位购买安全生产责任险，引导引进有资质的第三方专业机构，加强项目施工全过程的安全监管，提升施工安全管理专业化水平。</w:t>
      </w:r>
    </w:p>
    <w:p w14:paraId="418AB5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（三）完善结（决）算审核</w:t>
      </w:r>
      <w:r>
        <w:rPr>
          <w:rFonts w:hint="eastAsia" w:ascii="仿宋_GB2312" w:hAnsi="仿宋_GB2312" w:eastAsia="仿宋_GB2312" w:cs="仿宋_GB2312"/>
          <w:color w:val="000000"/>
          <w:sz w:val="32"/>
          <w:szCs w:val="32"/>
          <w:lang w:eastAsia="zh-CN"/>
        </w:rPr>
        <w:t>。</w:t>
      </w:r>
    </w:p>
    <w:p w14:paraId="2C54B2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助力项目需在完成结算评审工作后，依序按需开展财务决算评审工作，由项目所在地财政部门根据工作需要委托有资质的第三方完成评审工作或者财政部门自行完成评审工作。</w:t>
      </w:r>
    </w:p>
    <w:p w14:paraId="4F6527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五、有关工作要求</w:t>
      </w:r>
    </w:p>
    <w:p w14:paraId="7CB03E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color w:val="000000"/>
          <w:sz w:val="32"/>
          <w:szCs w:val="32"/>
          <w:lang w:eastAsia="zh-CN"/>
        </w:rPr>
        <w:t>健全</w:t>
      </w:r>
      <w:r>
        <w:rPr>
          <w:rFonts w:hint="eastAsia" w:ascii="仿宋_GB2312" w:hAnsi="仿宋_GB2312" w:eastAsia="仿宋_GB2312" w:cs="仿宋_GB2312"/>
          <w:color w:val="000000"/>
          <w:sz w:val="32"/>
          <w:szCs w:val="32"/>
        </w:rPr>
        <w:t>帮办代办服务</w:t>
      </w:r>
      <w:r>
        <w:rPr>
          <w:rFonts w:hint="eastAsia" w:ascii="仿宋_GB2312" w:hAnsi="仿宋_GB2312" w:eastAsia="仿宋_GB2312" w:cs="仿宋_GB2312"/>
          <w:color w:val="000000"/>
          <w:sz w:val="32"/>
          <w:szCs w:val="32"/>
          <w:lang w:eastAsia="zh-CN"/>
        </w:rPr>
        <w:t>体系。</w:t>
      </w:r>
    </w:p>
    <w:p w14:paraId="53CFA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各镇、县直各相关部门要进一步理顺助力项目帮办代办工作职责，压实工作责任，组建专职帮办代办队伍，为我县 “百千万工程” 建设项目提供精准、高效的全程帮办代办服务。县发展改革、财政、自然资源、住房城乡建设、政务服务数据管理等部门要密切配合、互通信息、提前介入项目前期工作，主动指导项目单位准备申报资料，确保项目快速审批。</w:t>
      </w:r>
    </w:p>
    <w:p w14:paraId="69A8EA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（二）强化信用监管</w:t>
      </w:r>
      <w:r>
        <w:rPr>
          <w:rFonts w:hint="eastAsia" w:ascii="仿宋_GB2312" w:hAnsi="仿宋_GB2312" w:eastAsia="仿宋_GB2312" w:cs="仿宋_GB2312"/>
          <w:color w:val="000000"/>
          <w:sz w:val="32"/>
          <w:szCs w:val="32"/>
          <w:lang w:eastAsia="zh-CN"/>
        </w:rPr>
        <w:t>。</w:t>
      </w:r>
    </w:p>
    <w:p w14:paraId="64CBF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对于实行告知承诺制或容缺后补的审批事项，各相关审批部门要在规定时间内对申请人履行承诺情况进行核查，切实加强事中事后监管。强化建设单位主体责任，对核查中发现实际情况与承诺内容不符的，责令限期整改；整改不到位的，依法撤销相关许可，或禁止其后续选择告知承诺制审批方式，并按规定将其不良行为纳入信用监管体系，实施联合惩戒。</w:t>
      </w:r>
    </w:p>
    <w:p w14:paraId="3F6D0C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（三）坚持动态调整与廉政建设</w:t>
      </w:r>
      <w:r>
        <w:rPr>
          <w:rFonts w:hint="eastAsia" w:ascii="仿宋_GB2312" w:hAnsi="仿宋_GB2312" w:eastAsia="仿宋_GB2312" w:cs="仿宋_GB2312"/>
          <w:color w:val="000000"/>
          <w:sz w:val="32"/>
          <w:szCs w:val="32"/>
          <w:lang w:eastAsia="zh-CN"/>
        </w:rPr>
        <w:t>。</w:t>
      </w:r>
    </w:p>
    <w:p w14:paraId="443D6F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工作指引是我县房屋建筑和市政工程建设领域助力“百千万工程”的探索性试行措施，主要是为了优化建筑业企业助力“百千万工程”项目审批流程，推动“百千万工程”项目快落地、快动工、快投产。在执行过程中务必坚决贯彻廉政准则，严格落实工程质量管理有关要求，推动“百千万工程”取得实效。</w:t>
      </w:r>
    </w:p>
    <w:p w14:paraId="0A551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60" w:lineRule="atLeas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本工作指引自发布之日起30日后试行，自试行之日起有效期2年。试行期间，如遇国家、省、市出台相关新政策、新规定，从其规定。</w:t>
      </w:r>
    </w:p>
    <w:p w14:paraId="2902D0C0">
      <w:pPr>
        <w:rPr>
          <w:rFonts w:hint="eastAsia" w:ascii="仿宋_GB2312" w:hAnsi="仿宋_GB2312" w:eastAsia="仿宋_GB2312" w:cs="仿宋_GB2312"/>
          <w:color w:val="000000"/>
          <w:sz w:val="32"/>
          <w:szCs w:val="32"/>
        </w:rPr>
      </w:pPr>
    </w:p>
    <w:p w14:paraId="2A2E2F99">
      <w:pPr>
        <w:ind w:left="2238" w:leftChars="304" w:hanging="1600" w:hangingChars="5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附件：1-1．施工图设计符合国家规范标准和工程质量安全要求的承诺书（参考版本）</w:t>
      </w:r>
    </w:p>
    <w:p w14:paraId="256392AA">
      <w:pPr>
        <w:ind w:firstLine="1600" w:firstLineChars="5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1-2．助力项目决（结）算评审工作程序</w:t>
      </w:r>
      <w:r>
        <w:rPr>
          <w:rFonts w:hint="eastAsia" w:ascii="仿宋_GB2312" w:hAnsi="仿宋_GB2312" w:eastAsia="仿宋_GB2312" w:cs="仿宋_GB2312"/>
          <w:color w:val="000000"/>
          <w:sz w:val="32"/>
          <w:szCs w:val="32"/>
        </w:rPr>
        <w:br w:type="page"/>
      </w:r>
    </w:p>
    <w:p w14:paraId="2CCB433A">
      <w:pPr>
        <w:keepNext w:val="0"/>
        <w:keepLines w:val="0"/>
        <w:pageBreakBefore w:val="0"/>
        <w:widowControl w:val="0"/>
        <w:kinsoku/>
        <w:wordWrap/>
        <w:overflowPunct/>
        <w:topLinePunct/>
        <w:autoSpaceDE/>
        <w:autoSpaceDN/>
        <w:bidi w:val="0"/>
        <w:adjustRightInd/>
        <w:snapToGrid/>
        <w:spacing w:line="620" w:lineRule="exact"/>
        <w:textAlignment w:val="auto"/>
        <w:rPr>
          <w:rFonts w:hint="default" w:ascii="Times New Roman" w:hAnsi="Times New Roman" w:eastAsia="方正仿宋简体" w:cs="Times New Roman"/>
          <w:color w:val="auto"/>
          <w:sz w:val="32"/>
          <w:szCs w:val="32"/>
          <w:highlight w:val="none"/>
          <w:u w:val="none"/>
          <w:lang w:val="en-US" w:eastAsia="zh-CN"/>
        </w:rPr>
      </w:pPr>
      <w:r>
        <w:rPr>
          <w:rFonts w:hint="default" w:ascii="Times New Roman" w:hAnsi="Times New Roman" w:eastAsia="方正仿宋简体" w:cs="Times New Roman"/>
          <w:color w:val="auto"/>
          <w:sz w:val="32"/>
          <w:szCs w:val="32"/>
          <w:highlight w:val="none"/>
          <w:u w:val="none"/>
          <w:lang w:val="en-US" w:eastAsia="zh-CN"/>
        </w:rPr>
        <w:t>附件1-1</w:t>
      </w:r>
    </w:p>
    <w:p w14:paraId="764B33F3">
      <w:pPr>
        <w:jc w:val="center"/>
        <w:rPr>
          <w:rFonts w:hint="default" w:ascii="Times New Roman" w:hAnsi="Times New Roman" w:eastAsia="方正小标宋_GBK" w:cs="Times New Roman"/>
          <w:color w:val="auto"/>
          <w:sz w:val="36"/>
          <w:szCs w:val="36"/>
          <w:shd w:val="clear" w:color="auto" w:fill="FFFFFF"/>
          <w:lang w:val="en-US" w:eastAsia="zh-CN"/>
        </w:rPr>
      </w:pPr>
      <w:r>
        <w:rPr>
          <w:rFonts w:hint="default" w:ascii="Times New Roman" w:hAnsi="Times New Roman" w:eastAsia="方正小标宋_GBK" w:cs="Times New Roman"/>
          <w:color w:val="auto"/>
          <w:sz w:val="36"/>
          <w:szCs w:val="36"/>
          <w:shd w:val="clear" w:color="auto" w:fill="FFFFFF"/>
          <w:lang w:val="en-US" w:eastAsia="zh-CN"/>
        </w:rPr>
        <w:t xml:space="preserve"> </w:t>
      </w:r>
    </w:p>
    <w:p w14:paraId="7A88A693">
      <w:pPr>
        <w:jc w:val="center"/>
        <w:rPr>
          <w:rFonts w:hint="default" w:ascii="Times New Roman" w:hAnsi="Times New Roman" w:eastAsia="方正小标宋简体" w:cs="Times New Roman"/>
          <w:color w:val="auto"/>
          <w:sz w:val="36"/>
          <w:szCs w:val="36"/>
          <w:shd w:val="clear" w:color="auto" w:fill="FFFFFF"/>
        </w:rPr>
      </w:pPr>
      <w:r>
        <w:rPr>
          <w:rFonts w:hint="default" w:ascii="Times New Roman" w:hAnsi="Times New Roman" w:eastAsia="方正小标宋简体" w:cs="Times New Roman"/>
          <w:color w:val="auto"/>
          <w:sz w:val="36"/>
          <w:szCs w:val="36"/>
          <w:shd w:val="clear" w:color="auto" w:fill="FFFFFF"/>
        </w:rPr>
        <w:t>施工图设计符合国家规范标准和工程质量安全</w:t>
      </w:r>
    </w:p>
    <w:p w14:paraId="6D528787">
      <w:pPr>
        <w:jc w:val="center"/>
        <w:rPr>
          <w:rFonts w:hint="default" w:ascii="Times New Roman" w:hAnsi="Times New Roman" w:eastAsia="方正小标宋简体" w:cs="Times New Roman"/>
          <w:color w:val="auto"/>
          <w:sz w:val="36"/>
          <w:szCs w:val="36"/>
          <w:lang w:eastAsia="zh-CN"/>
        </w:rPr>
      </w:pPr>
      <w:r>
        <w:rPr>
          <w:rFonts w:hint="default" w:ascii="Times New Roman" w:hAnsi="Times New Roman" w:eastAsia="方正小标宋简体" w:cs="Times New Roman"/>
          <w:color w:val="auto"/>
          <w:sz w:val="36"/>
          <w:szCs w:val="36"/>
          <w:shd w:val="clear" w:color="auto" w:fill="FFFFFF"/>
        </w:rPr>
        <w:t>要求的承诺书</w:t>
      </w:r>
      <w:r>
        <w:rPr>
          <w:rFonts w:hint="default" w:ascii="Times New Roman" w:hAnsi="Times New Roman" w:eastAsia="方正小标宋简体" w:cs="Times New Roman"/>
          <w:color w:val="auto"/>
          <w:sz w:val="36"/>
          <w:szCs w:val="36"/>
          <w:shd w:val="clear" w:color="auto" w:fill="FFFFFF"/>
          <w:lang w:eastAsia="zh-CN"/>
        </w:rPr>
        <w:t>（参考版本）</w:t>
      </w:r>
    </w:p>
    <w:p w14:paraId="037D0B75">
      <w:pPr>
        <w:pStyle w:val="8"/>
        <w:widowControl/>
        <w:wordWrap w:val="0"/>
        <w:spacing w:before="0" w:beforeAutospacing="0" w:after="0" w:afterAutospacing="0" w:line="560" w:lineRule="exact"/>
        <w:jc w:val="both"/>
        <w:rPr>
          <w:rFonts w:hint="default" w:ascii="Times New Roman" w:hAnsi="Times New Roman" w:eastAsia="仿宋" w:cs="Times New Roman"/>
          <w:color w:val="auto"/>
          <w:sz w:val="32"/>
          <w:szCs w:val="32"/>
          <w:lang w:eastAsia="zh-CN"/>
        </w:rPr>
      </w:pPr>
    </w:p>
    <w:p w14:paraId="51BB5E7C">
      <w:pPr>
        <w:pStyle w:val="8"/>
        <w:widowControl/>
        <w:wordWrap w:val="0"/>
        <w:spacing w:before="0" w:beforeAutospacing="0" w:after="0" w:afterAutospacing="0" w:line="560" w:lineRule="exact"/>
        <w:jc w:val="both"/>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（主管部门）：</w:t>
      </w:r>
    </w:p>
    <w:p w14:paraId="469A795C">
      <w:pPr>
        <w:pStyle w:val="8"/>
        <w:widowControl/>
        <w:wordWrap w:val="0"/>
        <w:spacing w:before="0" w:beforeAutospacing="0" w:after="0" w:afterAutospacing="0" w:line="560" w:lineRule="exact"/>
        <w:ind w:firstLine="64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我单位申请办理</w:t>
      </w:r>
      <w:r>
        <w:rPr>
          <w:rFonts w:hint="eastAsia" w:ascii="仿宋_GB2312" w:hAnsi="仿宋_GB2312" w:eastAsia="仿宋_GB2312" w:cs="仿宋_GB2312"/>
          <w:color w:val="auto"/>
          <w:sz w:val="32"/>
          <w:szCs w:val="32"/>
          <w:u w:val="single"/>
          <w:shd w:val="clear" w:color="auto" w:fill="FFFFFF"/>
        </w:rPr>
        <w:t xml:space="preserve">                     </w:t>
      </w:r>
      <w:r>
        <w:rPr>
          <w:rFonts w:hint="eastAsia" w:ascii="仿宋_GB2312" w:hAnsi="仿宋_GB2312" w:eastAsia="仿宋_GB2312" w:cs="仿宋_GB2312"/>
          <w:color w:val="auto"/>
          <w:sz w:val="32"/>
          <w:szCs w:val="32"/>
          <w:shd w:val="clear" w:color="auto" w:fill="FFFFFF"/>
        </w:rPr>
        <w:t>项目</w:t>
      </w:r>
      <w:r>
        <w:rPr>
          <w:rFonts w:hint="eastAsia" w:ascii="仿宋_GB2312" w:hAnsi="仿宋_GB2312" w:eastAsia="仿宋_GB2312" w:cs="仿宋_GB2312"/>
          <w:color w:val="auto"/>
          <w:sz w:val="32"/>
          <w:szCs w:val="32"/>
        </w:rPr>
        <w:t>的施工许可证。</w:t>
      </w:r>
      <w:r>
        <w:rPr>
          <w:rFonts w:hint="eastAsia" w:ascii="仿宋_GB2312" w:hAnsi="仿宋_GB2312" w:eastAsia="仿宋_GB2312" w:cs="仿宋_GB2312"/>
          <w:color w:val="auto"/>
          <w:sz w:val="32"/>
          <w:szCs w:val="32"/>
          <w:lang w:eastAsia="zh-CN"/>
        </w:rPr>
        <w:t>该项目施工图设计文件已组织了自审并按要求上传到</w:t>
      </w:r>
      <w:r>
        <w:rPr>
          <w:rFonts w:hint="eastAsia" w:ascii="仿宋_GB2312" w:hAnsi="仿宋_GB2312" w:eastAsia="仿宋_GB2312" w:cs="仿宋_GB2312"/>
          <w:color w:val="auto"/>
          <w:sz w:val="32"/>
          <w:szCs w:val="32"/>
        </w:rPr>
        <w:t>省施工图审查管理系统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现承诺该项目</w:t>
      </w:r>
      <w:r>
        <w:rPr>
          <w:rFonts w:hint="eastAsia" w:ascii="仿宋_GB2312" w:hAnsi="仿宋_GB2312" w:eastAsia="仿宋_GB2312" w:cs="仿宋_GB2312"/>
          <w:color w:val="auto"/>
          <w:sz w:val="32"/>
          <w:szCs w:val="32"/>
          <w:shd w:val="clear" w:color="auto" w:fill="FFFFFF"/>
        </w:rPr>
        <w:t>建设方案稳定，图纸设计符合国家强制性规范标准和工程质量安全要求，申请施工许可范围内没有高边坡、高填方、深基坑等情况，申请先行办理</w:t>
      </w:r>
      <w:r>
        <w:rPr>
          <w:rFonts w:hint="eastAsia" w:ascii="仿宋_GB2312" w:hAnsi="仿宋_GB2312" w:eastAsia="仿宋_GB2312" w:cs="仿宋_GB2312"/>
          <w:color w:val="auto"/>
          <w:sz w:val="32"/>
          <w:szCs w:val="32"/>
          <w:shd w:val="clear" w:color="auto" w:fill="FFFFFF"/>
          <w:lang w:eastAsia="zh-CN"/>
        </w:rPr>
        <w:t>“地上结构”</w:t>
      </w:r>
      <w:r>
        <w:rPr>
          <w:rFonts w:hint="eastAsia" w:ascii="仿宋_GB2312" w:hAnsi="仿宋_GB2312" w:eastAsia="仿宋_GB2312" w:cs="仿宋_GB2312"/>
          <w:color w:val="auto"/>
          <w:sz w:val="32"/>
          <w:szCs w:val="32"/>
          <w:shd w:val="clear" w:color="auto" w:fill="FFFFFF"/>
        </w:rPr>
        <w:t>阶段的施工许可证。</w:t>
      </w:r>
      <w:r>
        <w:rPr>
          <w:rFonts w:hint="eastAsia" w:ascii="仿宋_GB2312" w:hAnsi="仿宋_GB2312" w:eastAsia="仿宋_GB2312" w:cs="仿宋_GB2312"/>
          <w:color w:val="auto"/>
          <w:sz w:val="32"/>
          <w:szCs w:val="32"/>
        </w:rPr>
        <w:t>如承诺不实，本单位愿承担相应的法律责任和后果，并接受住房城乡建设主管部门及其他部门依据有关法律法规等给予的行政处罚及处理。</w:t>
      </w:r>
    </w:p>
    <w:p w14:paraId="2AC7B47D">
      <w:pPr>
        <w:pStyle w:val="5"/>
        <w:spacing w:line="560" w:lineRule="exact"/>
        <w:rPr>
          <w:rFonts w:hint="eastAsia" w:ascii="仿宋_GB2312" w:hAnsi="仿宋_GB2312" w:eastAsia="仿宋_GB2312" w:cs="仿宋_GB2312"/>
          <w:color w:val="auto"/>
          <w:sz w:val="32"/>
          <w:szCs w:val="32"/>
        </w:rPr>
      </w:pPr>
    </w:p>
    <w:p w14:paraId="3D9C06A6">
      <w:pPr>
        <w:pStyle w:val="5"/>
        <w:spacing w:line="560" w:lineRule="exact"/>
        <w:ind w:left="0" w:leftChars="0"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承诺人：</w:t>
      </w:r>
    </w:p>
    <w:p w14:paraId="31796003">
      <w:pPr>
        <w:pStyle w:val="5"/>
        <w:spacing w:line="560" w:lineRule="exact"/>
        <w:ind w:left="0" w:leftChars="0" w:firstLine="0" w:firstLineChars="0"/>
        <w:rPr>
          <w:rFonts w:hint="eastAsia" w:ascii="仿宋_GB2312" w:hAnsi="仿宋_GB2312" w:eastAsia="仿宋_GB2312" w:cs="仿宋_GB2312"/>
          <w:color w:val="auto"/>
          <w:sz w:val="32"/>
          <w:szCs w:val="32"/>
          <w:lang w:eastAsia="zh-CN"/>
        </w:rPr>
      </w:pPr>
    </w:p>
    <w:p w14:paraId="7477314B">
      <w:pPr>
        <w:pStyle w:val="5"/>
        <w:spacing w:line="560" w:lineRule="exact"/>
        <w:ind w:left="0" w:leftChars="0"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建设单位（公章）：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法定代表人（签名）：</w:t>
      </w:r>
    </w:p>
    <w:p w14:paraId="7C89FC50">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2D2375F5">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1F49C964">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4C303958">
      <w:pPr>
        <w:pStyle w:val="5"/>
        <w:spacing w:line="560" w:lineRule="exact"/>
        <w:ind w:left="0" w:leftChars="0" w:firstLine="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设计单位（公章）：               </w:t>
      </w:r>
      <w:r>
        <w:rPr>
          <w:rFonts w:hint="eastAsia" w:ascii="仿宋_GB2312" w:hAnsi="仿宋_GB2312" w:eastAsia="仿宋_GB2312" w:cs="仿宋_GB2312"/>
          <w:color w:val="auto"/>
          <w:sz w:val="32"/>
          <w:szCs w:val="32"/>
          <w:lang w:eastAsia="zh-CN"/>
        </w:rPr>
        <w:t>法定代表人（签名）：</w:t>
      </w:r>
    </w:p>
    <w:p w14:paraId="5B8EDEDB">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06F7C185">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53DA2BC1">
      <w:pPr>
        <w:pStyle w:val="5"/>
        <w:spacing w:line="560" w:lineRule="exact"/>
        <w:ind w:left="0" w:leftChars="0" w:firstLine="0" w:firstLineChars="0"/>
        <w:rPr>
          <w:rFonts w:hint="eastAsia" w:ascii="仿宋_GB2312" w:hAnsi="仿宋_GB2312" w:eastAsia="仿宋_GB2312" w:cs="仿宋_GB2312"/>
          <w:color w:val="auto"/>
          <w:sz w:val="32"/>
          <w:szCs w:val="32"/>
          <w:lang w:val="en-US" w:eastAsia="zh-CN"/>
        </w:rPr>
      </w:pPr>
    </w:p>
    <w:p w14:paraId="756543E9">
      <w:pPr>
        <w:pStyle w:val="5"/>
        <w:spacing w:line="560" w:lineRule="exact"/>
        <w:ind w:left="0" w:leftChars="0" w:firstLine="0" w:firstLineChars="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勘察单位（公章）：               法定代表人（签名）：</w:t>
      </w:r>
    </w:p>
    <w:p w14:paraId="4DF063BD">
      <w:pPr>
        <w:pStyle w:val="5"/>
        <w:spacing w:line="560" w:lineRule="exact"/>
        <w:ind w:firstLine="4800" w:firstLineChars="1500"/>
        <w:rPr>
          <w:rFonts w:hint="eastAsia" w:ascii="仿宋_GB2312" w:hAnsi="仿宋_GB2312" w:eastAsia="仿宋_GB2312" w:cs="仿宋_GB2312"/>
          <w:color w:val="auto"/>
          <w:sz w:val="32"/>
          <w:szCs w:val="32"/>
          <w:lang w:val="en-US" w:eastAsia="zh-CN"/>
        </w:rPr>
      </w:pPr>
    </w:p>
    <w:p w14:paraId="071F02EB">
      <w:pPr>
        <w:pStyle w:val="5"/>
        <w:spacing w:line="560" w:lineRule="exact"/>
        <w:ind w:firstLine="3520" w:firstLineChars="11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承诺日期：     年   月   日</w:t>
      </w:r>
    </w:p>
    <w:p w14:paraId="50EAB9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5F20A5A">
      <w:pPr>
        <w:keepNext w:val="0"/>
        <w:keepLines w:val="0"/>
        <w:pageBreakBefore w:val="0"/>
        <w:widowControl w:val="0"/>
        <w:kinsoku/>
        <w:wordWrap/>
        <w:overflowPunct/>
        <w:topLinePunct/>
        <w:autoSpaceDE/>
        <w:autoSpaceDN/>
        <w:bidi w:val="0"/>
        <w:adjustRightInd/>
        <w:snapToGrid/>
        <w:spacing w:line="620" w:lineRule="exact"/>
        <w:jc w:val="both"/>
        <w:textAlignment w:val="auto"/>
        <w:rPr>
          <w:rFonts w:hint="default" w:ascii="Times New Roman" w:hAnsi="Times New Roman" w:eastAsia="方正仿宋简体" w:cs="Times New Roman"/>
          <w:color w:val="auto"/>
          <w:sz w:val="32"/>
          <w:szCs w:val="32"/>
          <w:highlight w:val="none"/>
          <w:u w:val="none"/>
          <w:lang w:val="en-US" w:eastAsia="zh-CN"/>
        </w:rPr>
      </w:pPr>
      <w:r>
        <w:rPr>
          <w:rFonts w:hint="default" w:ascii="Times New Roman" w:hAnsi="Times New Roman" w:eastAsia="方正仿宋简体" w:cs="Times New Roman"/>
          <w:color w:val="auto"/>
          <w:sz w:val="32"/>
          <w:szCs w:val="32"/>
          <w:highlight w:val="none"/>
          <w:u w:val="none"/>
          <w:lang w:val="en-US" w:eastAsia="zh-CN"/>
        </w:rPr>
        <w:t>附件1-2</w:t>
      </w:r>
    </w:p>
    <w:p w14:paraId="7E4E0F0B">
      <w:pPr>
        <w:keepNext w:val="0"/>
        <w:keepLines w:val="0"/>
        <w:pageBreakBefore w:val="0"/>
        <w:widowControl w:val="0"/>
        <w:kinsoku/>
        <w:wordWrap/>
        <w:overflowPunct/>
        <w:topLinePunct/>
        <w:autoSpaceDE/>
        <w:autoSpaceDN/>
        <w:bidi w:val="0"/>
        <w:adjustRightInd/>
        <w:snapToGrid/>
        <w:spacing w:line="620" w:lineRule="exact"/>
        <w:jc w:val="both"/>
        <w:textAlignment w:val="auto"/>
        <w:rPr>
          <w:rFonts w:hint="default" w:ascii="Times New Roman" w:hAnsi="Times New Roman" w:eastAsia="仿宋" w:cs="Times New Roman"/>
          <w:color w:val="auto"/>
          <w:sz w:val="32"/>
          <w:szCs w:val="32"/>
          <w:highlight w:val="none"/>
          <w:u w:val="none"/>
          <w:lang w:val="en-US" w:eastAsia="zh-CN"/>
        </w:rPr>
      </w:pPr>
    </w:p>
    <w:p w14:paraId="1DE1E9A3">
      <w:pPr>
        <w:keepNext w:val="0"/>
        <w:keepLines w:val="0"/>
        <w:pageBreakBefore w:val="0"/>
        <w:widowControl w:val="0"/>
        <w:kinsoku/>
        <w:wordWrap/>
        <w:overflowPunct/>
        <w:topLinePunct/>
        <w:autoSpaceDE/>
        <w:autoSpaceDN/>
        <w:bidi w:val="0"/>
        <w:adjustRightInd/>
        <w:snapToGrid/>
        <w:spacing w:line="620" w:lineRule="exact"/>
        <w:jc w:val="center"/>
        <w:textAlignment w:val="auto"/>
        <w:rPr>
          <w:rFonts w:hint="default" w:ascii="Times New Roman" w:hAnsi="Times New Roman" w:eastAsia="方正小标宋简体" w:cs="Times New Roman"/>
          <w:color w:val="auto"/>
          <w:sz w:val="40"/>
          <w:szCs w:val="40"/>
          <w:lang w:eastAsia="zh-CN"/>
        </w:rPr>
      </w:pPr>
      <w:r>
        <w:rPr>
          <w:rFonts w:hint="default" w:ascii="Times New Roman" w:hAnsi="Times New Roman" w:eastAsia="方正小标宋简体" w:cs="Times New Roman"/>
          <w:color w:val="auto"/>
          <w:sz w:val="40"/>
          <w:szCs w:val="40"/>
          <w:lang w:eastAsia="zh-CN"/>
        </w:rPr>
        <w:t>助力项目决（结）算评审工作程序</w:t>
      </w:r>
    </w:p>
    <w:p w14:paraId="3281B380">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default" w:ascii="Times New Roman" w:hAnsi="Times New Roman" w:eastAsia="方正仿宋简体" w:cs="Times New Roman"/>
          <w:color w:val="auto"/>
          <w:sz w:val="32"/>
          <w:szCs w:val="32"/>
          <w:lang w:eastAsia="zh-CN"/>
        </w:rPr>
      </w:pPr>
    </w:p>
    <w:p w14:paraId="2F8D06D2">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助力项目竣工验收后由施工单位（以下简称“</w:t>
      </w:r>
      <w:r>
        <w:rPr>
          <w:rFonts w:hint="eastAsia" w:ascii="仿宋_GB2312" w:hAnsi="仿宋_GB2312" w:eastAsia="仿宋_GB2312" w:cs="仿宋_GB2312"/>
          <w:color w:val="auto"/>
          <w:sz w:val="32"/>
          <w:szCs w:val="32"/>
          <w:lang w:val="en-US" w:eastAsia="zh-CN"/>
        </w:rPr>
        <w:t>乙方”）或项目使用单位（以下简称“丙方”）</w:t>
      </w:r>
      <w:r>
        <w:rPr>
          <w:rFonts w:hint="eastAsia" w:ascii="仿宋_GB2312" w:hAnsi="仿宋_GB2312" w:eastAsia="仿宋_GB2312" w:cs="仿宋_GB2312"/>
          <w:color w:val="auto"/>
          <w:sz w:val="32"/>
          <w:szCs w:val="32"/>
          <w:lang w:eastAsia="zh-CN"/>
        </w:rPr>
        <w:t>负责向财政部门递交决（结）算评审申请和决（结）算资料，</w:t>
      </w:r>
      <w:r>
        <w:rPr>
          <w:rFonts w:hint="eastAsia" w:ascii="仿宋_GB2312" w:hAnsi="仿宋_GB2312" w:eastAsia="仿宋_GB2312" w:cs="仿宋_GB2312"/>
          <w:color w:val="auto"/>
          <w:sz w:val="32"/>
          <w:szCs w:val="32"/>
          <w:lang w:val="en-US" w:eastAsia="zh-CN"/>
        </w:rPr>
        <w:t>乙</w:t>
      </w:r>
      <w:r>
        <w:rPr>
          <w:rFonts w:hint="eastAsia" w:ascii="仿宋_GB2312" w:hAnsi="仿宋_GB2312" w:eastAsia="仿宋_GB2312" w:cs="仿宋_GB2312"/>
          <w:color w:val="auto"/>
          <w:sz w:val="32"/>
          <w:szCs w:val="32"/>
          <w:lang w:eastAsia="zh-CN"/>
        </w:rPr>
        <w:t>丙</w:t>
      </w:r>
      <w:r>
        <w:rPr>
          <w:rFonts w:hint="eastAsia" w:ascii="仿宋_GB2312" w:hAnsi="仿宋_GB2312" w:eastAsia="仿宋_GB2312" w:cs="仿宋_GB2312"/>
          <w:color w:val="auto"/>
          <w:sz w:val="32"/>
          <w:szCs w:val="32"/>
          <w:lang w:val="en-US" w:eastAsia="zh-CN"/>
        </w:rPr>
        <w:t>双</w:t>
      </w:r>
      <w:r>
        <w:rPr>
          <w:rFonts w:hint="eastAsia" w:ascii="仿宋_GB2312" w:hAnsi="仿宋_GB2312" w:eastAsia="仿宋_GB2312" w:cs="仿宋_GB2312"/>
          <w:color w:val="auto"/>
          <w:sz w:val="32"/>
          <w:szCs w:val="32"/>
          <w:lang w:eastAsia="zh-CN"/>
        </w:rPr>
        <w:t>方需</w:t>
      </w:r>
      <w:r>
        <w:rPr>
          <w:rFonts w:hint="eastAsia" w:ascii="仿宋_GB2312" w:hAnsi="仿宋_GB2312" w:eastAsia="仿宋_GB2312" w:cs="仿宋_GB2312"/>
          <w:color w:val="auto"/>
          <w:sz w:val="32"/>
          <w:szCs w:val="32"/>
          <w:lang w:val="en-US" w:eastAsia="zh-CN"/>
        </w:rPr>
        <w:t>共同</w:t>
      </w:r>
      <w:r>
        <w:rPr>
          <w:rFonts w:hint="eastAsia" w:ascii="仿宋_GB2312" w:hAnsi="仿宋_GB2312" w:eastAsia="仿宋_GB2312" w:cs="仿宋_GB2312"/>
          <w:color w:val="auto"/>
          <w:sz w:val="32"/>
          <w:szCs w:val="32"/>
          <w:lang w:eastAsia="zh-CN"/>
        </w:rPr>
        <w:t>对决（结）算资料的真实性、合法性、完整性负责，并承诺所提供的结算资料无虚假成分以及其他不实事项。</w:t>
      </w:r>
    </w:p>
    <w:p w14:paraId="0E194624">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一、助力项目</w:t>
      </w:r>
      <w:r>
        <w:rPr>
          <w:rFonts w:hint="eastAsia" w:ascii="仿宋_GB2312" w:hAnsi="仿宋_GB2312" w:eastAsia="仿宋_GB2312" w:cs="仿宋_GB2312"/>
          <w:color w:val="auto"/>
          <w:sz w:val="32"/>
          <w:szCs w:val="32"/>
          <w:lang w:val="en-US" w:eastAsia="zh-CN"/>
        </w:rPr>
        <w:t>结算原则和程序</w:t>
      </w:r>
      <w:r>
        <w:rPr>
          <w:rFonts w:hint="eastAsia" w:ascii="仿宋_GB2312" w:hAnsi="仿宋_GB2312" w:eastAsia="仿宋_GB2312" w:cs="仿宋_GB2312"/>
          <w:color w:val="auto"/>
          <w:sz w:val="32"/>
          <w:szCs w:val="32"/>
          <w:lang w:eastAsia="zh-CN"/>
        </w:rPr>
        <w:t>：财政部门依据提交的结算资料开展</w:t>
      </w:r>
      <w:r>
        <w:rPr>
          <w:rFonts w:hint="eastAsia" w:ascii="仿宋_GB2312" w:hAnsi="仿宋_GB2312" w:eastAsia="仿宋_GB2312" w:cs="仿宋_GB2312"/>
          <w:color w:val="auto"/>
          <w:sz w:val="32"/>
          <w:szCs w:val="32"/>
          <w:lang w:val="en-US" w:eastAsia="zh-CN"/>
        </w:rPr>
        <w:t>助力项目的</w:t>
      </w:r>
      <w:r>
        <w:rPr>
          <w:rFonts w:hint="eastAsia" w:ascii="仿宋_GB2312" w:hAnsi="仿宋_GB2312" w:eastAsia="仿宋_GB2312" w:cs="仿宋_GB2312"/>
          <w:color w:val="auto"/>
          <w:sz w:val="32"/>
          <w:szCs w:val="32"/>
          <w:lang w:eastAsia="zh-CN"/>
        </w:rPr>
        <w:t>工程造价评审工作。因项目概算预算</w:t>
      </w:r>
      <w:r>
        <w:rPr>
          <w:rFonts w:hint="eastAsia" w:ascii="仿宋_GB2312" w:hAnsi="仿宋_GB2312" w:eastAsia="仿宋_GB2312" w:cs="仿宋_GB2312"/>
          <w:color w:val="auto"/>
          <w:sz w:val="32"/>
          <w:szCs w:val="32"/>
          <w:lang w:val="en-US" w:eastAsia="zh-CN"/>
        </w:rPr>
        <w:t>不再审查</w:t>
      </w:r>
      <w:r>
        <w:rPr>
          <w:rFonts w:hint="eastAsia" w:ascii="仿宋_GB2312" w:hAnsi="仿宋_GB2312" w:eastAsia="仿宋_GB2312" w:cs="仿宋_GB2312"/>
          <w:color w:val="auto"/>
          <w:sz w:val="32"/>
          <w:szCs w:val="32"/>
          <w:lang w:eastAsia="zh-CN"/>
        </w:rPr>
        <w:t>，建议乙丙双方</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eastAsia="zh-CN"/>
        </w:rPr>
        <w:t>《建设施工合同》明确</w:t>
      </w:r>
      <w:r>
        <w:rPr>
          <w:rFonts w:hint="eastAsia" w:ascii="仿宋_GB2312" w:hAnsi="仿宋_GB2312" w:eastAsia="仿宋_GB2312" w:cs="仿宋_GB2312"/>
          <w:color w:val="auto"/>
          <w:sz w:val="32"/>
          <w:szCs w:val="32"/>
          <w:lang w:val="en-US" w:eastAsia="zh-CN"/>
        </w:rPr>
        <w:t>结算原则</w:t>
      </w:r>
      <w:r>
        <w:rPr>
          <w:rFonts w:hint="eastAsia" w:ascii="仿宋_GB2312" w:hAnsi="仿宋_GB2312" w:eastAsia="仿宋_GB2312" w:cs="仿宋_GB2312"/>
          <w:color w:val="auto"/>
          <w:sz w:val="32"/>
          <w:szCs w:val="32"/>
          <w:lang w:eastAsia="zh-CN"/>
        </w:rPr>
        <w:t>，具体计价</w:t>
      </w:r>
      <w:r>
        <w:rPr>
          <w:rFonts w:hint="eastAsia" w:ascii="仿宋_GB2312" w:hAnsi="仿宋_GB2312" w:eastAsia="仿宋_GB2312" w:cs="仿宋_GB2312"/>
          <w:color w:val="auto"/>
          <w:sz w:val="32"/>
          <w:szCs w:val="32"/>
          <w:lang w:val="en-US" w:eastAsia="zh-CN"/>
        </w:rPr>
        <w:t>规则</w:t>
      </w:r>
      <w:r>
        <w:rPr>
          <w:rFonts w:hint="eastAsia" w:ascii="仿宋_GB2312" w:hAnsi="仿宋_GB2312" w:eastAsia="仿宋_GB2312" w:cs="仿宋_GB2312"/>
          <w:color w:val="auto"/>
          <w:sz w:val="32"/>
          <w:szCs w:val="32"/>
          <w:lang w:eastAsia="zh-CN"/>
        </w:rPr>
        <w:t>如下：</w:t>
      </w:r>
    </w:p>
    <w:p w14:paraId="6465CE2E">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）综合计价根据专业套用相对应的定额标准和规范。</w:t>
      </w:r>
    </w:p>
    <w:p w14:paraId="27BD9B33">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）工程量根据施工图纸、变更资料以及签证等资料实做实结。</w:t>
      </w:r>
    </w:p>
    <w:p w14:paraId="53EF1CA9">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）材料、设备价格根据施工期间阳江市信息价的平均价计算，阳江市信息价缺项的材料设备价格应由乙方提供相关的购销合同和发票并经丙方审核通过后作为计算依据，或者通过市场询价方式确定价格（</w:t>
      </w:r>
      <w:r>
        <w:rPr>
          <w:rFonts w:hint="eastAsia" w:ascii="仿宋_GB2312" w:hAnsi="仿宋_GB2312" w:eastAsia="仿宋_GB2312" w:cs="仿宋_GB2312"/>
          <w:color w:val="auto"/>
          <w:sz w:val="32"/>
          <w:szCs w:val="32"/>
          <w:lang w:val="en-US" w:eastAsia="zh-CN"/>
        </w:rPr>
        <w:t>乙丙双方和</w:t>
      </w:r>
      <w:r>
        <w:rPr>
          <w:rFonts w:hint="eastAsia" w:ascii="仿宋_GB2312" w:hAnsi="仿宋_GB2312" w:eastAsia="仿宋_GB2312" w:cs="仿宋_GB2312"/>
          <w:color w:val="auto"/>
          <w:sz w:val="32"/>
          <w:szCs w:val="32"/>
          <w:lang w:eastAsia="zh-CN"/>
        </w:rPr>
        <w:t>财政审核部门需提供</w:t>
      </w:r>
      <w:r>
        <w:rPr>
          <w:rFonts w:hint="eastAsia" w:ascii="仿宋_GB2312" w:hAnsi="仿宋_GB2312" w:eastAsia="仿宋_GB2312" w:cs="仿宋_GB2312"/>
          <w:color w:val="auto"/>
          <w:sz w:val="32"/>
          <w:szCs w:val="32"/>
          <w:lang w:val="en-US" w:eastAsia="zh-CN"/>
        </w:rPr>
        <w:t>询价单作为依据</w:t>
      </w:r>
      <w:r>
        <w:rPr>
          <w:rFonts w:hint="eastAsia" w:ascii="仿宋_GB2312" w:hAnsi="仿宋_GB2312" w:eastAsia="仿宋_GB2312" w:cs="仿宋_GB2312"/>
          <w:color w:val="auto"/>
          <w:sz w:val="32"/>
          <w:szCs w:val="32"/>
          <w:lang w:eastAsia="zh-CN"/>
        </w:rPr>
        <w:t>）。</w:t>
      </w:r>
    </w:p>
    <w:p w14:paraId="74AB950E">
      <w:pPr>
        <w:keepNext w:val="0"/>
        <w:keepLines w:val="0"/>
        <w:pageBreakBefore w:val="0"/>
        <w:widowControl w:val="0"/>
        <w:kinsoku/>
        <w:wordWrap/>
        <w:overflowPunct/>
        <w:topLinePunct/>
        <w:autoSpaceDE/>
        <w:autoSpaceDN/>
        <w:bidi w:val="0"/>
        <w:adjustRightInd/>
        <w:snapToGrid/>
        <w:spacing w:line="6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二、助力项目</w:t>
      </w:r>
      <w:r>
        <w:rPr>
          <w:rFonts w:hint="eastAsia" w:ascii="仿宋_GB2312" w:hAnsi="仿宋_GB2312" w:eastAsia="仿宋_GB2312" w:cs="仿宋_GB2312"/>
          <w:color w:val="auto"/>
          <w:sz w:val="32"/>
          <w:szCs w:val="32"/>
          <w:lang w:val="en-US" w:eastAsia="zh-CN"/>
        </w:rPr>
        <w:t>决算原则和程序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乙</w:t>
      </w:r>
      <w:r>
        <w:rPr>
          <w:rFonts w:hint="eastAsia" w:ascii="仿宋_GB2312" w:hAnsi="仿宋_GB2312" w:eastAsia="仿宋_GB2312" w:cs="仿宋_GB2312"/>
          <w:color w:val="auto"/>
          <w:sz w:val="32"/>
          <w:szCs w:val="32"/>
          <w:lang w:eastAsia="zh-CN"/>
        </w:rPr>
        <w:t>丙</w:t>
      </w:r>
      <w:r>
        <w:rPr>
          <w:rFonts w:hint="eastAsia" w:ascii="仿宋_GB2312" w:hAnsi="仿宋_GB2312" w:eastAsia="仿宋_GB2312" w:cs="仿宋_GB2312"/>
          <w:color w:val="auto"/>
          <w:sz w:val="32"/>
          <w:szCs w:val="32"/>
          <w:lang w:val="en-US" w:eastAsia="zh-CN"/>
        </w:rPr>
        <w:t>双</w:t>
      </w:r>
      <w:r>
        <w:rPr>
          <w:rFonts w:hint="eastAsia" w:ascii="仿宋_GB2312" w:hAnsi="仿宋_GB2312" w:eastAsia="仿宋_GB2312" w:cs="仿宋_GB2312"/>
          <w:color w:val="auto"/>
          <w:sz w:val="32"/>
          <w:szCs w:val="32"/>
          <w:lang w:eastAsia="zh-CN"/>
        </w:rPr>
        <w:t>方需依据《关于规范市级财政性投资评审工作有关事项的通知》（阳财建〔2014〕42 号）相</w:t>
      </w:r>
      <w:r>
        <w:rPr>
          <w:rFonts w:hint="eastAsia" w:ascii="仿宋_GB2312" w:hAnsi="仿宋_GB2312" w:eastAsia="仿宋_GB2312" w:cs="仿宋_GB2312"/>
          <w:color w:val="auto"/>
          <w:sz w:val="32"/>
          <w:szCs w:val="32"/>
          <w:lang w:val="en-US" w:eastAsia="zh-CN"/>
        </w:rPr>
        <w:t>关要求</w:t>
      </w:r>
      <w:r>
        <w:rPr>
          <w:rFonts w:hint="eastAsia" w:ascii="仿宋_GB2312" w:hAnsi="仿宋_GB2312" w:eastAsia="仿宋_GB2312" w:cs="仿宋_GB2312"/>
          <w:color w:val="auto"/>
          <w:sz w:val="32"/>
          <w:szCs w:val="32"/>
          <w:lang w:eastAsia="zh-CN"/>
        </w:rPr>
        <w:t>，提供完备的送审竣工财务决算资料</w:t>
      </w:r>
      <w:r>
        <w:rPr>
          <w:rFonts w:hint="eastAsia" w:ascii="仿宋_GB2312" w:hAnsi="仿宋_GB2312" w:eastAsia="仿宋_GB2312" w:cs="仿宋_GB2312"/>
          <w:color w:val="auto"/>
          <w:sz w:val="32"/>
          <w:szCs w:val="32"/>
          <w:lang w:val="en-US" w:eastAsia="zh-CN"/>
        </w:rPr>
        <w:t>并</w:t>
      </w:r>
      <w:r>
        <w:rPr>
          <w:rFonts w:hint="eastAsia" w:ascii="仿宋_GB2312" w:hAnsi="仿宋_GB2312" w:eastAsia="仿宋_GB2312" w:cs="仿宋_GB2312"/>
          <w:color w:val="auto"/>
          <w:sz w:val="32"/>
          <w:szCs w:val="32"/>
          <w:lang w:eastAsia="zh-CN"/>
        </w:rPr>
        <w:t>编制项目决算报告后报送财政部门审核；财政部门则以项目结算审核结论</w:t>
      </w:r>
      <w:r>
        <w:rPr>
          <w:rFonts w:hint="eastAsia" w:ascii="仿宋_GB2312" w:hAnsi="仿宋_GB2312" w:eastAsia="仿宋_GB2312" w:cs="仿宋_GB2312"/>
          <w:color w:val="auto"/>
          <w:sz w:val="32"/>
          <w:szCs w:val="32"/>
          <w:lang w:val="en-US" w:eastAsia="zh-CN"/>
        </w:rPr>
        <w:t>和送审竣工财务决算报告</w:t>
      </w:r>
      <w:r>
        <w:rPr>
          <w:rFonts w:hint="eastAsia" w:ascii="仿宋_GB2312" w:hAnsi="仿宋_GB2312" w:eastAsia="仿宋_GB2312" w:cs="仿宋_GB2312"/>
          <w:color w:val="auto"/>
          <w:sz w:val="32"/>
          <w:szCs w:val="32"/>
          <w:lang w:eastAsia="zh-CN"/>
        </w:rPr>
        <w:t>为基础，结合合同约定、财务凭证等资料，完成项目决算审核工作。</w:t>
      </w:r>
    </w:p>
    <w:p w14:paraId="6F6E3982">
      <w:pPr>
        <w:keepNext w:val="0"/>
        <w:keepLines w:val="0"/>
        <w:pageBreakBefore w:val="0"/>
        <w:kinsoku/>
        <w:wordWrap/>
        <w:overflowPunct/>
        <w:topLinePunct w:val="0"/>
        <w:autoSpaceDE/>
        <w:autoSpaceDN/>
        <w:bidi w:val="0"/>
        <w:adjustRightInd/>
        <w:snapToGrid w:val="0"/>
        <w:spacing w:line="560" w:lineRule="atLeast"/>
        <w:textAlignment w:val="auto"/>
        <w:rPr>
          <w:rFonts w:hint="eastAsia" w:ascii="仿宋_GB2312" w:hAnsi="仿宋_GB2312" w:eastAsia="仿宋_GB2312" w:cs="仿宋_GB2312"/>
          <w:sz w:val="32"/>
          <w:szCs w:val="32"/>
        </w:rPr>
      </w:pP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5CF1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B3CB3">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8B3CB3">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5A3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75BAD"/>
    <w:rsid w:val="082E5202"/>
    <w:rsid w:val="08E45F22"/>
    <w:rsid w:val="09532A47"/>
    <w:rsid w:val="0C8C699B"/>
    <w:rsid w:val="12E36BE9"/>
    <w:rsid w:val="1709284B"/>
    <w:rsid w:val="18B84C7F"/>
    <w:rsid w:val="18EA23E1"/>
    <w:rsid w:val="1A766595"/>
    <w:rsid w:val="1FBF453A"/>
    <w:rsid w:val="206B28A9"/>
    <w:rsid w:val="24154512"/>
    <w:rsid w:val="262A4E03"/>
    <w:rsid w:val="26794851"/>
    <w:rsid w:val="277B343D"/>
    <w:rsid w:val="29820AB2"/>
    <w:rsid w:val="2C0C0B07"/>
    <w:rsid w:val="2E3A7BAD"/>
    <w:rsid w:val="36017203"/>
    <w:rsid w:val="38487848"/>
    <w:rsid w:val="38D46E50"/>
    <w:rsid w:val="3BFE1B26"/>
    <w:rsid w:val="3DC12C0B"/>
    <w:rsid w:val="3FE060DB"/>
    <w:rsid w:val="410A78B3"/>
    <w:rsid w:val="47384F7B"/>
    <w:rsid w:val="47A10846"/>
    <w:rsid w:val="4A7933B4"/>
    <w:rsid w:val="4E802F63"/>
    <w:rsid w:val="4E920EE8"/>
    <w:rsid w:val="578735B4"/>
    <w:rsid w:val="5989229D"/>
    <w:rsid w:val="5BF1763B"/>
    <w:rsid w:val="5C0056E3"/>
    <w:rsid w:val="5D28711B"/>
    <w:rsid w:val="5D977EE5"/>
    <w:rsid w:val="5DB723C2"/>
    <w:rsid w:val="5F015D0B"/>
    <w:rsid w:val="63EB0A27"/>
    <w:rsid w:val="6AB9362D"/>
    <w:rsid w:val="6C6A1488"/>
    <w:rsid w:val="6D3276C6"/>
    <w:rsid w:val="754E7067"/>
    <w:rsid w:val="75D532E5"/>
    <w:rsid w:val="75E11C8A"/>
    <w:rsid w:val="79347B24"/>
    <w:rsid w:val="7ABE5099"/>
    <w:rsid w:val="7AFB559C"/>
    <w:rsid w:val="7D1961AD"/>
    <w:rsid w:val="7F6C6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2"/>
    <w:basedOn w:val="1"/>
    <w:qFormat/>
    <w:uiPriority w:val="0"/>
    <w:pPr>
      <w:spacing w:after="120" w:line="480" w:lineRule="auto"/>
      <w:ind w:left="420" w:leftChars="200"/>
    </w:pPr>
    <w:rPr>
      <w:rFonts w:ascii="Times New Roman" w:hAnsi="Times New Roman"/>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3588</Words>
  <Characters>3617</Characters>
  <Lines>0</Lines>
  <Paragraphs>0</Paragraphs>
  <TotalTime>5</TotalTime>
  <ScaleCrop>false</ScaleCrop>
  <LinksUpToDate>false</LinksUpToDate>
  <CharactersWithSpaces>3704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2026-03-26T10:11:00Z</dcterms:created>
  <dc:creator>Administrator</dc:creator>
  <cp:lastModifiedBy>盈</cp:lastModifiedBy>
  <cp:lastPrinted>2026-03-31T11:36:00Z</cp:lastPrinted>
  <dcterms:modified xsi:type="dcterms:W3CDTF">2026-08-14T07:37:10Z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eyJoZGlkIjoiYjliMGJhMWE2ZWI5NGJjMzBhYzMyMjgxZTQwZTQ1OGMiLCJ1c2VySWQiOiIzNzkzMjMyMDgifQ==</vt:lpwstr>
  </property>
  <property fmtid="{D5CDD505-2E9C-101B-9397-08002B2CF9AE}" pid="4" name="ICV">
    <vt:lpwstr>0C57CE2FF05F4AC1B2DA35B26FFCBC13_13</vt:lpwstr>
  </property>
</Properties>
</file>