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29BEF">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关于对《阳西县重点农业龙头企业认定与</w:t>
      </w:r>
    </w:p>
    <w:p w14:paraId="0C07973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监测办法（修订）》政策解读</w:t>
      </w:r>
    </w:p>
    <w:p w14:paraId="0FB71DC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lang w:eastAsia="zh-CN"/>
        </w:rPr>
      </w:pPr>
    </w:p>
    <w:p w14:paraId="0730BC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为贯彻落实省、市关于加快农业龙头企业发展的决策部署，进一步规范我县重点农业龙头企业的培育、认定与管理工作，阳西县对原认定与监测办法进行了修订，形成了《阳西县重点农业龙头企业认定与监测办法（修订）（送审稿）》（以下简称《办法》）。为使广大农业经营主体及相关单位更好地理解《办法》的核心内容和具体要求，现解读如下：</w:t>
      </w:r>
    </w:p>
    <w:p w14:paraId="0A05455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rPr>
        <w:t>修订背景与</w:t>
      </w:r>
      <w:r>
        <w:rPr>
          <w:rFonts w:hint="eastAsia" w:ascii="黑体" w:hAnsi="黑体" w:eastAsia="黑体" w:cs="黑体"/>
          <w:sz w:val="32"/>
          <w:szCs w:val="32"/>
          <w:lang w:eastAsia="zh-CN"/>
        </w:rPr>
        <w:t>政策依据</w:t>
      </w:r>
    </w:p>
    <w:p w14:paraId="48BA4C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（一）修订背景</w:t>
      </w:r>
    </w:p>
    <w:p w14:paraId="5BF37CE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val="0"/>
          <w:bCs w:val="0"/>
          <w:sz w:val="32"/>
          <w:szCs w:val="32"/>
        </w:rPr>
        <w:t>本次修订旨在</w:t>
      </w:r>
      <w:r>
        <w:rPr>
          <w:rFonts w:hint="eastAsia" w:ascii="Times New Roman" w:hAnsi="Times New Roman" w:eastAsia="方正仿宋_GB2312" w:cs="Times New Roman"/>
          <w:b w:val="0"/>
          <w:bCs w:val="0"/>
          <w:sz w:val="32"/>
          <w:szCs w:val="32"/>
          <w:lang w:val="en-US" w:eastAsia="zh-CN"/>
        </w:rPr>
        <w:t>贯彻落实</w:t>
      </w:r>
      <w:r>
        <w:rPr>
          <w:rFonts w:hint="default" w:ascii="Times New Roman" w:hAnsi="Times New Roman" w:eastAsia="方正仿宋_GB2312" w:cs="Times New Roman"/>
          <w:b w:val="0"/>
          <w:bCs w:val="0"/>
          <w:sz w:val="32"/>
          <w:szCs w:val="32"/>
        </w:rPr>
        <w:t>《广东省重点农业龙头企业认定和运行监测管理办法》等上级最新政策精神，同时结合我县农业产业发展新形势、新要求，对原有办法进行优化完善。精准培育一批真正具有竞争力、创新力和强带动力的县级农业龙头企业，为我县乡村产业振兴和农业农村现代化注入强劲动力。</w:t>
      </w:r>
    </w:p>
    <w:p w14:paraId="0B9974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楷体_GB2312" w:hAnsi="方正楷体_GB2312" w:eastAsia="方正楷体_GB2312" w:cs="方正楷体_GB2312"/>
          <w:sz w:val="32"/>
          <w:szCs w:val="32"/>
        </w:rPr>
      </w:pPr>
      <w:r>
        <w:rPr>
          <w:rFonts w:hint="default" w:ascii="方正楷体_GB2312" w:hAnsi="方正楷体_GB2312" w:eastAsia="方正楷体_GB2312" w:cs="方正楷体_GB2312"/>
          <w:sz w:val="32"/>
          <w:szCs w:val="32"/>
          <w:lang w:eastAsia="zh-CN"/>
        </w:rPr>
        <w:t>（</w:t>
      </w:r>
      <w:r>
        <w:rPr>
          <w:rFonts w:hint="default" w:ascii="方正楷体_GB2312" w:hAnsi="方正楷体_GB2312" w:eastAsia="方正楷体_GB2312" w:cs="方正楷体_GB2312"/>
          <w:sz w:val="32"/>
          <w:szCs w:val="32"/>
        </w:rPr>
        <w:t>二</w:t>
      </w:r>
      <w:r>
        <w:rPr>
          <w:rFonts w:hint="default" w:ascii="方正楷体_GB2312" w:hAnsi="方正楷体_GB2312" w:eastAsia="方正楷体_GB2312" w:cs="方正楷体_GB2312"/>
          <w:sz w:val="32"/>
          <w:szCs w:val="32"/>
          <w:lang w:eastAsia="zh-CN"/>
        </w:rPr>
        <w:t>）</w:t>
      </w:r>
      <w:r>
        <w:rPr>
          <w:rFonts w:hint="default" w:ascii="方正楷体_GB2312" w:hAnsi="方正楷体_GB2312" w:eastAsia="方正楷体_GB2312" w:cs="方正楷体_GB2312"/>
          <w:sz w:val="32"/>
          <w:szCs w:val="32"/>
        </w:rPr>
        <w:t>政策依据</w:t>
      </w:r>
    </w:p>
    <w:p w14:paraId="4C467783">
      <w:pPr>
        <w:pStyle w:val="2"/>
        <w:keepNext w:val="0"/>
        <w:keepLines w:val="0"/>
        <w:pageBreakBefore w:val="0"/>
        <w:wordWrap/>
        <w:overflowPunct/>
        <w:topLinePunct w:val="0"/>
        <w:bidi w:val="0"/>
        <w:spacing w:line="560" w:lineRule="exact"/>
        <w:ind w:firstLine="640" w:firstLineChars="200"/>
        <w:jc w:val="left"/>
        <w:rPr>
          <w:rFonts w:hint="default" w:ascii="Times New Roman" w:hAnsi="Times New Roman" w:eastAsia="方正仿宋_GB2312" w:cs="Times New Roman"/>
          <w:snapToGrid w:val="0"/>
          <w:color w:val="000000"/>
          <w:kern w:val="0"/>
          <w:sz w:val="32"/>
          <w:szCs w:val="32"/>
          <w:shd w:val="clear" w:color="auto" w:fill="FFFFFF"/>
        </w:rPr>
      </w:pPr>
      <w:r>
        <w:rPr>
          <w:rFonts w:hint="default" w:ascii="Times New Roman" w:hAnsi="Times New Roman" w:eastAsia="方正仿宋_GB2312" w:cs="Times New Roman"/>
          <w:sz w:val="32"/>
          <w:szCs w:val="32"/>
        </w:rPr>
        <w:t>《广东省人民政府办公厅关于进一步支持农业龙头企业加快发展的意见》（粤府办〔2016〕136号）</w:t>
      </w:r>
      <w:r>
        <w:rPr>
          <w:rFonts w:hint="eastAsia"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广东省重点农业龙头企业认定和运行监测管理办法</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（粤农农规〔2020〕11号）</w:t>
      </w:r>
      <w:r>
        <w:rPr>
          <w:rFonts w:hint="default" w:ascii="Times New Roman" w:hAnsi="Times New Roman" w:eastAsia="方正仿宋_GB2312" w:cs="Times New Roman"/>
          <w:snapToGrid w:val="0"/>
          <w:color w:val="000000"/>
          <w:kern w:val="0"/>
          <w:sz w:val="32"/>
          <w:szCs w:val="32"/>
          <w:shd w:val="clear" w:color="auto" w:fill="FFFFFF"/>
        </w:rPr>
        <w:t>、</w:t>
      </w:r>
      <w:r>
        <w:rPr>
          <w:rFonts w:hint="default" w:ascii="Times New Roman" w:hAnsi="Times New Roman" w:eastAsia="方正仿宋_GB2312" w:cs="Times New Roman"/>
          <w:snapToGrid w:val="0"/>
          <w:color w:val="000000"/>
          <w:kern w:val="0"/>
          <w:sz w:val="32"/>
          <w:szCs w:val="32"/>
          <w:shd w:val="clear" w:color="auto" w:fill="FFFFFF"/>
          <w:lang w:eastAsia="zh-CN"/>
        </w:rPr>
        <w:t>《</w:t>
      </w:r>
      <w:r>
        <w:rPr>
          <w:rFonts w:hint="default" w:ascii="Times New Roman" w:hAnsi="Times New Roman" w:eastAsia="方正仿宋_GB2312" w:cs="Times New Roman"/>
          <w:sz w:val="32"/>
          <w:szCs w:val="32"/>
        </w:rPr>
        <w:t>关于印发阳江市重点农业龙头企业认定与监测管理办法的通知</w:t>
      </w:r>
      <w:r>
        <w:rPr>
          <w:rFonts w:hint="default" w:ascii="Times New Roman" w:hAnsi="Times New Roman" w:eastAsia="方正仿宋_GB2312" w:cs="Times New Roman"/>
          <w:snapToGrid w:val="0"/>
          <w:color w:val="000000"/>
          <w:kern w:val="0"/>
          <w:sz w:val="32"/>
          <w:szCs w:val="32"/>
          <w:shd w:val="clear" w:color="auto" w:fill="FFFFFF"/>
          <w:lang w:eastAsia="zh-CN"/>
        </w:rPr>
        <w:t>》</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eastAsia="zh-CN"/>
        </w:rPr>
        <w:t>阳</w:t>
      </w:r>
      <w:r>
        <w:rPr>
          <w:rFonts w:hint="default" w:ascii="Times New Roman" w:hAnsi="Times New Roman" w:eastAsia="方正仿宋_GB2312" w:cs="Times New Roman"/>
          <w:sz w:val="32"/>
          <w:szCs w:val="32"/>
        </w:rPr>
        <w:t>农〔20</w:t>
      </w:r>
      <w:r>
        <w:rPr>
          <w:rFonts w:hint="default" w:ascii="Times New Roman" w:hAnsi="Times New Roman" w:eastAsia="方正仿宋_GB2312" w:cs="Times New Roman"/>
          <w:sz w:val="32"/>
          <w:szCs w:val="32"/>
          <w:lang w:val="en-US" w:eastAsia="zh-CN"/>
        </w:rPr>
        <w:t>14</w:t>
      </w:r>
      <w:r>
        <w:rPr>
          <w:rFonts w:hint="default" w:ascii="Times New Roman" w:hAnsi="Times New Roman" w:eastAsia="方正仿宋_GB2312" w:cs="Times New Roman"/>
          <w:sz w:val="32"/>
          <w:szCs w:val="32"/>
        </w:rPr>
        <w:t>〕1</w:t>
      </w:r>
      <w:r>
        <w:rPr>
          <w:rFonts w:hint="default" w:ascii="Times New Roman" w:hAnsi="Times New Roman" w:eastAsia="方正仿宋_GB2312" w:cs="Times New Roman"/>
          <w:sz w:val="32"/>
          <w:szCs w:val="32"/>
          <w:lang w:val="en-US" w:eastAsia="zh-CN"/>
        </w:rPr>
        <w:t>0</w:t>
      </w:r>
      <w:r>
        <w:rPr>
          <w:rFonts w:hint="default" w:ascii="Times New Roman" w:hAnsi="Times New Roman" w:eastAsia="方正仿宋_GB2312" w:cs="Times New Roman"/>
          <w:sz w:val="32"/>
          <w:szCs w:val="32"/>
        </w:rPr>
        <w:t>号）。</w:t>
      </w:r>
    </w:p>
    <w:p w14:paraId="651D70C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rPr>
      </w:pPr>
      <w:r>
        <w:rPr>
          <w:rFonts w:hint="default" w:ascii="黑体" w:hAnsi="黑体" w:eastAsia="黑体" w:cs="黑体"/>
          <w:sz w:val="32"/>
          <w:szCs w:val="32"/>
        </w:rPr>
        <w:t>起草过程</w:t>
      </w:r>
    </w:p>
    <w:p w14:paraId="13536A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为贯彻落实县委县政府工作部署，我局在202</w:t>
      </w:r>
      <w:r>
        <w:rPr>
          <w:rFonts w:hint="default"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lang w:eastAsia="zh-CN"/>
        </w:rPr>
        <w:t>年</w:t>
      </w:r>
      <w:r>
        <w:rPr>
          <w:rFonts w:hint="default" w:ascii="Times New Roman" w:hAnsi="Times New Roman" w:eastAsia="方正仿宋_GB2312" w:cs="Times New Roman"/>
          <w:sz w:val="32"/>
          <w:szCs w:val="32"/>
          <w:lang w:val="en-US" w:eastAsia="zh-CN"/>
        </w:rPr>
        <w:t>8</w:t>
      </w:r>
      <w:r>
        <w:rPr>
          <w:rFonts w:hint="default" w:ascii="Times New Roman" w:hAnsi="Times New Roman" w:eastAsia="方正仿宋_GB2312" w:cs="Times New Roman"/>
          <w:sz w:val="32"/>
          <w:szCs w:val="32"/>
          <w:lang w:eastAsia="zh-CN"/>
        </w:rPr>
        <w:t>月</w:t>
      </w:r>
      <w:r>
        <w:rPr>
          <w:rFonts w:hint="default" w:ascii="Times New Roman" w:hAnsi="Times New Roman" w:eastAsia="方正仿宋_GB2312" w:cs="Times New Roman"/>
          <w:sz w:val="32"/>
          <w:szCs w:val="32"/>
          <w:lang w:val="en-US" w:eastAsia="zh-CN"/>
        </w:rPr>
        <w:t>28</w:t>
      </w:r>
      <w:r>
        <w:rPr>
          <w:rFonts w:hint="default" w:ascii="Times New Roman" w:hAnsi="Times New Roman" w:eastAsia="方正仿宋_GB2312" w:cs="Times New Roman"/>
          <w:sz w:val="32"/>
          <w:szCs w:val="32"/>
          <w:lang w:eastAsia="zh-CN"/>
        </w:rPr>
        <w:t>日向</w:t>
      </w:r>
      <w:r>
        <w:rPr>
          <w:rFonts w:hint="default" w:ascii="Times New Roman" w:hAnsi="Times New Roman" w:eastAsia="方正仿宋_GB2312" w:cs="Times New Roman"/>
          <w:sz w:val="32"/>
          <w:szCs w:val="32"/>
          <w:lang w:val="en-US" w:eastAsia="zh-CN"/>
        </w:rPr>
        <w:t>我县8个</w:t>
      </w:r>
      <w:r>
        <w:rPr>
          <w:rFonts w:hint="default" w:ascii="Times New Roman" w:hAnsi="Times New Roman" w:eastAsia="方正仿宋_GB2312" w:cs="Times New Roman"/>
          <w:sz w:val="32"/>
          <w:szCs w:val="32"/>
          <w:lang w:eastAsia="zh-CN"/>
        </w:rPr>
        <w:t>镇人民政府，县工信局、县司法局、县财政局、县市场监管局、县发改局、县公安局、县人社局、县自然资源局、县海洋发展局、县应急局、县供销社、县税务局、市生态环境局阳西分局、广东源满律师事务所共</w:t>
      </w:r>
      <w:r>
        <w:rPr>
          <w:rFonts w:hint="default" w:ascii="Times New Roman" w:hAnsi="Times New Roman" w:eastAsia="方正仿宋_GB2312" w:cs="Times New Roman"/>
          <w:sz w:val="32"/>
          <w:szCs w:val="32"/>
          <w:lang w:val="en-US" w:eastAsia="zh-CN"/>
        </w:rPr>
        <w:t>21</w:t>
      </w:r>
      <w:r>
        <w:rPr>
          <w:rFonts w:hint="default" w:ascii="Times New Roman" w:hAnsi="Times New Roman" w:eastAsia="方正仿宋_GB2312" w:cs="Times New Roman"/>
          <w:sz w:val="32"/>
          <w:szCs w:val="32"/>
          <w:lang w:eastAsia="zh-CN"/>
        </w:rPr>
        <w:t>个单位及相关利益群体</w:t>
      </w:r>
      <w:r>
        <w:rPr>
          <w:rFonts w:hint="eastAsia" w:ascii="Times New Roman" w:hAnsi="Times New Roman" w:eastAsia="方正仿宋_GB2312" w:cs="Times New Roman"/>
          <w:sz w:val="32"/>
          <w:szCs w:val="32"/>
          <w:lang w:val="en-US" w:eastAsia="zh-CN"/>
        </w:rPr>
        <w:t>代表</w:t>
      </w:r>
      <w:r>
        <w:rPr>
          <w:rFonts w:hint="default" w:ascii="Times New Roman" w:hAnsi="Times New Roman" w:eastAsia="方正仿宋_GB2312" w:cs="Times New Roman"/>
          <w:sz w:val="32"/>
          <w:szCs w:val="32"/>
          <w:lang w:eastAsia="zh-CN"/>
        </w:rPr>
        <w:t>征求</w:t>
      </w:r>
      <w:r>
        <w:rPr>
          <w:rFonts w:hint="default" w:ascii="Times New Roman" w:hAnsi="Times New Roman" w:eastAsia="方正仿宋_GB2312" w:cs="Times New Roman"/>
          <w:sz w:val="32"/>
          <w:szCs w:val="32"/>
          <w:lang w:val="en-US" w:eastAsia="zh-CN"/>
        </w:rPr>
        <w:t>《阳西县重点农业龙头企业认定与监测办法（修订）》（征求意见稿）</w:t>
      </w:r>
      <w:r>
        <w:rPr>
          <w:rFonts w:hint="default" w:ascii="Times New Roman" w:hAnsi="Times New Roman" w:eastAsia="方正仿宋_GB2312" w:cs="Times New Roman"/>
          <w:sz w:val="32"/>
          <w:szCs w:val="32"/>
          <w:lang w:eastAsia="zh-CN"/>
        </w:rPr>
        <w:t>的意见，</w:t>
      </w:r>
      <w:r>
        <w:rPr>
          <w:rFonts w:hint="default" w:ascii="Times New Roman" w:hAnsi="Times New Roman" w:eastAsia="方正仿宋_GB2312" w:cs="Times New Roman"/>
          <w:sz w:val="32"/>
          <w:szCs w:val="32"/>
          <w:lang w:val="en-US" w:eastAsia="zh-CN"/>
        </w:rPr>
        <w:t>并于2025年8月29日至2025年9月27日将《阳西县重点农业龙头企业认定与监测办法（修订）（征求意见稿）》发布在阳西县人民政府网，公开征求社会各界的意见。</w:t>
      </w:r>
      <w:r>
        <w:rPr>
          <w:rFonts w:hint="default" w:ascii="Times New Roman" w:hAnsi="Times New Roman" w:eastAsia="方正仿宋_GB2312" w:cs="Times New Roman"/>
          <w:sz w:val="32"/>
          <w:szCs w:val="32"/>
          <w:lang w:eastAsia="zh-CN"/>
        </w:rPr>
        <w:t>发出函件共</w:t>
      </w:r>
      <w:r>
        <w:rPr>
          <w:rFonts w:hint="default" w:ascii="Times New Roman" w:hAnsi="Times New Roman" w:eastAsia="方正仿宋_GB2312" w:cs="Times New Roman"/>
          <w:sz w:val="32"/>
          <w:szCs w:val="32"/>
          <w:lang w:val="en-US" w:eastAsia="zh-CN"/>
        </w:rPr>
        <w:t>25</w:t>
      </w:r>
      <w:r>
        <w:rPr>
          <w:rFonts w:hint="default" w:ascii="Times New Roman" w:hAnsi="Times New Roman" w:eastAsia="方正仿宋_GB2312" w:cs="Times New Roman"/>
          <w:sz w:val="32"/>
          <w:szCs w:val="32"/>
          <w:lang w:eastAsia="zh-CN"/>
        </w:rPr>
        <w:t>份，收回</w:t>
      </w:r>
      <w:r>
        <w:rPr>
          <w:rFonts w:hint="default" w:ascii="Times New Roman" w:hAnsi="Times New Roman" w:eastAsia="方正仿宋_GB2312" w:cs="Times New Roman"/>
          <w:sz w:val="32"/>
          <w:szCs w:val="32"/>
          <w:lang w:val="en-US" w:eastAsia="zh-CN"/>
        </w:rPr>
        <w:t>25份复函，其中23份无意见，2份意见部分采纳已作书面说明，收到社会意见一份，已说明具体情况并反馈不采纳该意见。为进一步修改完善《阳西县重点农业龙头企业认定与监测办法（修订）（征求意见稿）》，我局于2025年10月31日至2025年11月11日将《阳西县重点农业龙头企业认定与监测办法（修订）（征求意见稿）》发布在阳西县人民政府网，第二次公开征求社会各界的意见，第二次征求意见未收到异议和相关反馈意见。</w:t>
      </w:r>
    </w:p>
    <w:p w14:paraId="60728C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w:t>
      </w:r>
      <w:r>
        <w:rPr>
          <w:rFonts w:hint="eastAsia" w:ascii="黑体" w:hAnsi="黑体" w:eastAsia="黑体" w:cs="黑体"/>
          <w:sz w:val="32"/>
          <w:szCs w:val="32"/>
        </w:rPr>
        <w:t>、</w:t>
      </w:r>
      <w:r>
        <w:rPr>
          <w:rFonts w:hint="eastAsia" w:ascii="黑体" w:hAnsi="黑体" w:eastAsia="黑体" w:cs="黑体"/>
          <w:sz w:val="32"/>
          <w:szCs w:val="32"/>
          <w:lang w:eastAsia="zh-CN"/>
        </w:rPr>
        <w:t>主要内容</w:t>
      </w:r>
    </w:p>
    <w:p w14:paraId="382DB0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一</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申报门槛明确量化</w:t>
      </w:r>
    </w:p>
    <w:p w14:paraId="32489E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申报企业须为阳西县行政区域内依法设立的具有独立法人资格的企业，且农产品生产、加工、流通的销售收入（交易额）须占总销售收入（总交易额）70%以上。认定采用百分制评分（具体指标见附件1），综合得分80分及以上方可进入候选企业名单。</w:t>
      </w:r>
    </w:p>
    <w:p w14:paraId="610A6D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二</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实行分业归口管理</w:t>
      </w:r>
    </w:p>
    <w:p w14:paraId="462B4359">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水产类企业：由县海洋发展局归口管理并负责申报受理工作。</w:t>
      </w:r>
    </w:p>
    <w:p w14:paraId="130DF8F6">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eastAsia" w:ascii="Times New Roman" w:hAnsi="Times New Roman" w:eastAsia="方正仿宋_GB2312" w:cs="Times New Roman"/>
          <w:sz w:val="32"/>
          <w:szCs w:val="32"/>
          <w:lang w:val="en-US" w:eastAsia="zh-CN"/>
        </w:rPr>
        <w:t>非水产</w:t>
      </w:r>
      <w:r>
        <w:rPr>
          <w:rFonts w:hint="default" w:ascii="Times New Roman" w:hAnsi="Times New Roman" w:eastAsia="方正仿宋_GB2312" w:cs="Times New Roman"/>
          <w:sz w:val="32"/>
          <w:szCs w:val="32"/>
        </w:rPr>
        <w:t>类企业：由县农业农村和水务局负责申报受理工作。</w:t>
      </w:r>
    </w:p>
    <w:p w14:paraId="2B2A0B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三</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认定程序公开透明</w:t>
      </w:r>
    </w:p>
    <w:p w14:paraId="0755C8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企业提交申报材料→主管部门审核材料真实性→组织专家或委托中介机构审核评分→征求县发展和改革、工业和信息化、财政、自然资源、税务、市场监督管理等部门意见→确定候选企业→"阳西县政府网"公示7天→无异议后报请县政府认定并授牌。</w:t>
      </w:r>
    </w:p>
    <w:p w14:paraId="16B81A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四</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运行监测机制动态化</w:t>
      </w:r>
    </w:p>
    <w:p w14:paraId="4A4AA592">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年度填报：获认定的企业每年6月底前填报《阳西县县级以上农业龙头企业经营发展情况统计表》（附件4），由对应县级主管部门审核、汇总。</w:t>
      </w:r>
    </w:p>
    <w:p w14:paraId="2E49186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三年一检：每3年进行一次运行监测，参照申报认定程序审核，监测结果报请县政府确认。连续两次监测合格的企业，下一个监测年度免予监测。</w:t>
      </w:r>
    </w:p>
    <w:p w14:paraId="37336E96">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已获市级以上重点农业龙头企业资格的，不纳入县级监测范围。</w:t>
      </w:r>
    </w:p>
    <w:p w14:paraId="371A3B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五</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明确违规红线与退出机制</w:t>
      </w:r>
    </w:p>
    <w:p w14:paraId="61DA1E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有下列行为之一的，取消资格且3年内不得申报：</w:t>
      </w:r>
    </w:p>
    <w:p w14:paraId="5374D747">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被税务部门查实，有偷、逃、骗、抗税违法行为的；</w:t>
      </w:r>
    </w:p>
    <w:p w14:paraId="2BC25E4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致使发生重大安全事故，造成生命和财产重大损失的；</w:t>
      </w:r>
    </w:p>
    <w:p w14:paraId="1E433C8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生产假冒伪劣产品，经相关部门查实并予以处罚的；</w:t>
      </w:r>
    </w:p>
    <w:p w14:paraId="6261FC63">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环保不达标，经环保部门查实并予以处罚且经整改仍不达标的；</w:t>
      </w:r>
    </w:p>
    <w:p w14:paraId="395318F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无正当理由拒绝提供经营情况、财务报表的；</w:t>
      </w:r>
    </w:p>
    <w:p w14:paraId="6397AB40">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实施各级项目不按时验收结题的；</w:t>
      </w:r>
    </w:p>
    <w:p w14:paraId="3FDCE6E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弄虚作假、截留、挪用、占用项目资金的；</w:t>
      </w:r>
    </w:p>
    <w:p w14:paraId="3B580DB1">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存在舞弊行为，提供虚假材料的；</w:t>
      </w:r>
    </w:p>
    <w:p w14:paraId="5D84C0B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1055" w:leftChars="0" w:hanging="425" w:firstLineChars="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其他违反国家法律、法规和政策的行为。</w:t>
      </w:r>
    </w:p>
    <w:p w14:paraId="17545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六</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施行时间与有效期</w:t>
      </w:r>
    </w:p>
    <w:p w14:paraId="7A5419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本办法自</w:t>
      </w:r>
      <w:r>
        <w:rPr>
          <w:rFonts w:hint="eastAsia" w:ascii="Times New Roman" w:hAnsi="Times New Roman" w:eastAsia="方正仿宋_GB2312" w:cs="Times New Roman"/>
          <w:sz w:val="32"/>
          <w:szCs w:val="32"/>
          <w:lang w:val="en-US" w:eastAsia="zh-CN"/>
        </w:rPr>
        <w:t>发布</w:t>
      </w:r>
      <w:r>
        <w:rPr>
          <w:rFonts w:hint="default" w:ascii="Times New Roman" w:hAnsi="Times New Roman" w:eastAsia="方正仿宋_GB2312" w:cs="Times New Roman"/>
          <w:sz w:val="32"/>
          <w:szCs w:val="32"/>
        </w:rPr>
        <w:t>起施行，有效期三年。具体施行时间以文件正式发布为准。</w:t>
      </w:r>
    </w:p>
    <w:p w14:paraId="407B1A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四、重点建议</w:t>
      </w:r>
    </w:p>
    <w:p w14:paraId="588282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一</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提前自评，查漏补缺</w:t>
      </w:r>
    </w:p>
    <w:p w14:paraId="6D572B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建议有意</w:t>
      </w:r>
      <w:r>
        <w:rPr>
          <w:rFonts w:hint="eastAsia" w:ascii="Times New Roman" w:hAnsi="Times New Roman" w:eastAsia="方正仿宋_GB2312" w:cs="Times New Roman"/>
          <w:sz w:val="32"/>
          <w:szCs w:val="32"/>
          <w:lang w:val="en-US" w:eastAsia="zh-CN"/>
        </w:rPr>
        <w:t>向</w:t>
      </w:r>
      <w:r>
        <w:rPr>
          <w:rFonts w:hint="default" w:ascii="Times New Roman" w:hAnsi="Times New Roman" w:eastAsia="方正仿宋_GB2312" w:cs="Times New Roman"/>
          <w:sz w:val="32"/>
          <w:szCs w:val="32"/>
        </w:rPr>
        <w:t>申报的企业对照附件1评分指标逐项自评，重点关注主营业务占比、带动农户数量与佐证材料、有资质会计师事务所出具的审计报告规范性</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合法用地审查</w:t>
      </w:r>
      <w:r>
        <w:rPr>
          <w:rFonts w:hint="default" w:ascii="Times New Roman" w:hAnsi="Times New Roman" w:eastAsia="方正仿宋_GB2312" w:cs="Times New Roman"/>
          <w:sz w:val="32"/>
          <w:szCs w:val="32"/>
        </w:rPr>
        <w:t>等易失分项。自评低于80分的企业可先行补短板，待条件成熟后再申报。</w:t>
      </w:r>
    </w:p>
    <w:p w14:paraId="21E366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二</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完善利益联结证明材料</w:t>
      </w:r>
    </w:p>
    <w:p w14:paraId="08684E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带动农户是核心指标之一。企业需准备好与农民合作社、专业大户、家庭农场、农村经纪人、农户或村集体经济组织签订的购销合同、订单协议、入股分红凭证及占所带动农户15%的农户名册（含姓名、住址、联系电话），确保名册真实可查，避免因材料不实触发公示期异议。</w:t>
      </w:r>
    </w:p>
    <w:p w14:paraId="26B3C6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三</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规范财务与税务管理</w:t>
      </w:r>
    </w:p>
    <w:p w14:paraId="2F3A4E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申报材料中的资产负债表、损益表须由有资质会计师事务所出具，避免使用内部报表。同时，确保税务、职工社会养老保险缴纳记录无不良记录，此项涉及一票否决项。</w:t>
      </w:r>
    </w:p>
    <w:p w14:paraId="6B2158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四</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注意申报归口路径</w:t>
      </w:r>
    </w:p>
    <w:p w14:paraId="258F4E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主营业务为水产类的企业直接向县海洋发展局申报；</w:t>
      </w:r>
      <w:r>
        <w:rPr>
          <w:rFonts w:hint="eastAsia" w:ascii="Times New Roman" w:hAnsi="Times New Roman" w:eastAsia="方正仿宋_GB2312" w:cs="Times New Roman"/>
          <w:sz w:val="32"/>
          <w:szCs w:val="32"/>
          <w:lang w:val="en-US" w:eastAsia="zh-CN"/>
        </w:rPr>
        <w:t>非水产</w:t>
      </w:r>
      <w:r>
        <w:rPr>
          <w:rFonts w:hint="default" w:ascii="Times New Roman" w:hAnsi="Times New Roman" w:eastAsia="方正仿宋_GB2312" w:cs="Times New Roman"/>
          <w:sz w:val="32"/>
          <w:szCs w:val="32"/>
        </w:rPr>
        <w:t>类企业向县农业农村和水务局申报，错投部门可能导致延误。</w:t>
      </w:r>
    </w:p>
    <w:p w14:paraId="5081C2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五</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已认定企业务必配合年度填报与监测</w:t>
      </w:r>
    </w:p>
    <w:p w14:paraId="0B8E55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认定后每年6月底前务必按时填报经营发展情况统计表，无正当理由拒绝填报将触发违规条款。建议安排专人负责材料归档，为运行监测提前做好准备。</w:t>
      </w:r>
    </w:p>
    <w:p w14:paraId="3691EE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六</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关注施行时间，把握申报窗口</w:t>
      </w:r>
    </w:p>
    <w:p w14:paraId="60C57F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本办法自</w:t>
      </w:r>
      <w:r>
        <w:rPr>
          <w:rFonts w:hint="eastAsia" w:ascii="Times New Roman" w:hAnsi="Times New Roman" w:eastAsia="方正仿宋_GB2312" w:cs="Times New Roman"/>
          <w:sz w:val="32"/>
          <w:szCs w:val="32"/>
          <w:lang w:val="en-US" w:eastAsia="zh-CN"/>
        </w:rPr>
        <w:t>2026年7月2日</w:t>
      </w:r>
      <w:r>
        <w:rPr>
          <w:rFonts w:hint="default" w:ascii="Times New Roman" w:hAnsi="Times New Roman" w:eastAsia="方正仿宋_GB2312" w:cs="Times New Roman"/>
          <w:sz w:val="32"/>
          <w:szCs w:val="32"/>
        </w:rPr>
        <w:t>起施行，有效期三年。建议企业提前准备材料，尤其是审计报告等耗时较长的文件，避免因材料不齐错失认定机会。</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0FE3DF-E192-40D9-AC63-FFD68141D9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9276FF45-4D6D-4A52-BBB4-7A2F756AC993}"/>
  </w:font>
  <w:font w:name="方正仿宋_GB2312">
    <w:panose1 w:val="02000000000000000000"/>
    <w:charset w:val="86"/>
    <w:family w:val="auto"/>
    <w:pitch w:val="default"/>
    <w:sig w:usb0="A00002BF" w:usb1="184F6CFA" w:usb2="00000012" w:usb3="00000000" w:csb0="00040001" w:csb1="00000000"/>
    <w:embedRegular r:id="rId3" w:fontKey="{63A7CB77-D605-4395-B3B8-66EAA658CCAC}"/>
  </w:font>
  <w:font w:name="方正楷体_GB2312">
    <w:panose1 w:val="02000000000000000000"/>
    <w:charset w:val="86"/>
    <w:family w:val="auto"/>
    <w:pitch w:val="default"/>
    <w:sig w:usb0="A00002BF" w:usb1="184F6CFA" w:usb2="00000012" w:usb3="00000000" w:csb0="00040001" w:csb1="00000000"/>
    <w:embedRegular r:id="rId4" w:fontKey="{20E9B6FB-7899-4F29-9D59-60DD44D0452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4AC37E"/>
    <w:multiLevelType w:val="singleLevel"/>
    <w:tmpl w:val="CD4AC37E"/>
    <w:lvl w:ilvl="0" w:tentative="0">
      <w:start w:val="1"/>
      <w:numFmt w:val="decimal"/>
      <w:lvlText w:val="%1."/>
      <w:lvlJc w:val="left"/>
      <w:pPr>
        <w:ind w:left="1055" w:hanging="425"/>
      </w:pPr>
      <w:rPr>
        <w:rFonts w:hint="default"/>
      </w:rPr>
    </w:lvl>
  </w:abstractNum>
  <w:abstractNum w:abstractNumId="1">
    <w:nsid w:val="CF9FC90B"/>
    <w:multiLevelType w:val="singleLevel"/>
    <w:tmpl w:val="CF9FC90B"/>
    <w:lvl w:ilvl="0" w:tentative="0">
      <w:start w:val="1"/>
      <w:numFmt w:val="chineseCounting"/>
      <w:suff w:val="nothing"/>
      <w:lvlText w:val="%1、"/>
      <w:lvlJc w:val="left"/>
      <w:rPr>
        <w:rFonts w:hint="eastAsia"/>
      </w:rPr>
    </w:lvl>
  </w:abstractNum>
  <w:abstractNum w:abstractNumId="2">
    <w:nsid w:val="DE722DD9"/>
    <w:multiLevelType w:val="singleLevel"/>
    <w:tmpl w:val="DE722DD9"/>
    <w:lvl w:ilvl="0" w:tentative="0">
      <w:start w:val="1"/>
      <w:numFmt w:val="decimal"/>
      <w:lvlText w:val="%1."/>
      <w:lvlJc w:val="left"/>
      <w:pPr>
        <w:ind w:left="1055" w:hanging="425"/>
      </w:pPr>
      <w:rPr>
        <w:rFonts w:hint="default"/>
      </w:rPr>
    </w:lvl>
  </w:abstractNum>
  <w:abstractNum w:abstractNumId="3">
    <w:nsid w:val="107463DC"/>
    <w:multiLevelType w:val="singleLevel"/>
    <w:tmpl w:val="107463DC"/>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0F4396"/>
    <w:rsid w:val="08E80611"/>
    <w:rsid w:val="0D882D5E"/>
    <w:rsid w:val="123C051C"/>
    <w:rsid w:val="1F3E6375"/>
    <w:rsid w:val="265534CC"/>
    <w:rsid w:val="28CE3F08"/>
    <w:rsid w:val="2A092699"/>
    <w:rsid w:val="2FB30394"/>
    <w:rsid w:val="35A62743"/>
    <w:rsid w:val="39305E5D"/>
    <w:rsid w:val="41F84075"/>
    <w:rsid w:val="490F4396"/>
    <w:rsid w:val="66B10996"/>
    <w:rsid w:val="78990E6B"/>
    <w:rsid w:val="7A4C6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2215</Words>
  <Characters>2261</Characters>
  <Lines>0</Lines>
  <Paragraphs>0</Paragraphs>
  <TotalTime>95</TotalTime>
  <ScaleCrop>false</ScaleCrop>
  <LinksUpToDate>false</LinksUpToDate>
  <CharactersWithSpaces>2261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2025-12-12T01:20:00Z</dcterms:created>
  <dc:creator>Sky</dc:creator>
  <cp:lastModifiedBy>Sky</cp:lastModifiedBy>
  <cp:lastPrinted>2026-04-21T03:02:00Z</cp:lastPrinted>
  <dcterms:modified xsi:type="dcterms:W3CDTF">2026-07-02T06:51:28Z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0E51ADE95FD646729F7E938C1C815354_13</vt:lpwstr>
  </property>
  <property fmtid="{D5CDD505-2E9C-101B-9397-08002B2CF9AE}" pid="4" name="KSOTemplateDocerSaveRecord">
    <vt:lpwstr>eyJoZGlkIjoiOWJjOGM2NzcxZGFkODcxNWIwYTcwODA2NDcwNzE3MTUiLCJ1c2VySWQiOiIzNzMyMjgxMjUifQ==</vt:lpwstr>
  </property>
</Properties>
</file>