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3BAE8">
      <w:pPr>
        <w:rPr>
          <w:rFonts w:ascii="宋体" w:hAnsi="宋体" w:eastAsia="宋体"/>
          <w:sz w:val="28"/>
          <w:szCs w:val="28"/>
        </w:rPr>
      </w:pPr>
      <w:r>
        <w:rPr>
          <w:rFonts w:hint="eastAsia" w:ascii="宋体" w:hAnsi="宋体" w:eastAsia="宋体"/>
          <w:sz w:val="28"/>
          <w:szCs w:val="28"/>
        </w:rPr>
        <w:t>附件2-3</w:t>
      </w:r>
    </w:p>
    <w:p w14:paraId="1924557B"/>
    <w:p w14:paraId="17C5D497">
      <w:pPr>
        <w:spacing w:line="360" w:lineRule="auto"/>
        <w:jc w:val="center"/>
        <w:rPr>
          <w:rFonts w:ascii="方正小标宋简体" w:eastAsia="方正小标宋简体"/>
          <w:sz w:val="44"/>
          <w:szCs w:val="44"/>
        </w:rPr>
      </w:pPr>
      <w:r>
        <w:rPr>
          <w:rFonts w:hint="eastAsia" w:ascii="方正小标宋简体" w:eastAsia="方正小标宋简体"/>
          <w:sz w:val="44"/>
          <w:szCs w:val="44"/>
        </w:rPr>
        <w:t>县级部门整体支出绩效自评报告</w:t>
      </w:r>
    </w:p>
    <w:p w14:paraId="31BFBE4E">
      <w:pPr>
        <w:spacing w:line="360" w:lineRule="auto"/>
        <w:jc w:val="center"/>
        <w:rPr>
          <w:rFonts w:ascii="仿宋_GB2312"/>
          <w:szCs w:val="44"/>
        </w:rPr>
      </w:pPr>
    </w:p>
    <w:p w14:paraId="67F1EF2F"/>
    <w:p w14:paraId="4FDCEFC3"/>
    <w:p w14:paraId="710C6D17"/>
    <w:p w14:paraId="05A01481"/>
    <w:p w14:paraId="67FE389F">
      <w:pPr>
        <w:ind w:firstLine="1894" w:firstLineChars="592"/>
      </w:pPr>
      <w:r>
        <w:rPr>
          <w:rFonts w:hint="eastAsia"/>
        </w:rPr>
        <w:t>部门名称（公章）：</w:t>
      </w:r>
      <w:r>
        <w:rPr>
          <w:rFonts w:hint="eastAsia" w:ascii="仿宋_GB2312"/>
          <w:lang w:eastAsia="zh-CN"/>
        </w:rPr>
        <w:t>阳西县人力资源和社会保障局</w:t>
      </w:r>
    </w:p>
    <w:p w14:paraId="2BD8F194">
      <w:pPr>
        <w:ind w:firstLine="1894" w:firstLineChars="592"/>
        <w:rPr>
          <w:rFonts w:hint="eastAsia" w:eastAsia="仿宋_GB2312"/>
          <w:lang w:eastAsia="zh-CN"/>
        </w:rPr>
      </w:pPr>
      <w:r>
        <w:rPr>
          <w:rFonts w:hint="eastAsia"/>
        </w:rPr>
        <w:t>填报人姓名：</w:t>
      </w:r>
      <w:r>
        <w:rPr>
          <w:rFonts w:hint="eastAsia"/>
          <w:lang w:eastAsia="zh-CN"/>
        </w:rPr>
        <w:t>骆美铃</w:t>
      </w:r>
    </w:p>
    <w:p w14:paraId="2568EA88">
      <w:pPr>
        <w:ind w:firstLine="1894" w:firstLineChars="592"/>
        <w:rPr>
          <w:rFonts w:hint="default" w:eastAsia="仿宋_GB2312"/>
          <w:lang w:val="en-US" w:eastAsia="zh-CN"/>
        </w:rPr>
      </w:pPr>
      <w:r>
        <w:rPr>
          <w:rFonts w:hint="eastAsia"/>
        </w:rPr>
        <w:t>联系电话：</w:t>
      </w:r>
      <w:r>
        <w:rPr>
          <w:rFonts w:hint="eastAsia"/>
          <w:lang w:val="en-US" w:eastAsia="zh-CN"/>
        </w:rPr>
        <w:t>0662-5540829</w:t>
      </w:r>
    </w:p>
    <w:p w14:paraId="48F93D37">
      <w:pPr>
        <w:ind w:firstLine="1894" w:firstLineChars="592"/>
      </w:pPr>
      <w:r>
        <w:rPr>
          <w:rFonts w:hint="eastAsia"/>
        </w:rPr>
        <w:t>填报日期：2025年</w:t>
      </w:r>
      <w:r>
        <w:rPr>
          <w:rFonts w:hint="eastAsia"/>
          <w:lang w:val="en-US" w:eastAsia="zh-CN"/>
        </w:rPr>
        <w:t>2</w:t>
      </w:r>
      <w:r>
        <w:rPr>
          <w:rFonts w:hint="eastAsia"/>
        </w:rPr>
        <w:t>月</w:t>
      </w:r>
      <w:r>
        <w:rPr>
          <w:rFonts w:hint="eastAsia"/>
          <w:lang w:val="en-US" w:eastAsia="zh-CN"/>
        </w:rPr>
        <w:t>17</w:t>
      </w:r>
      <w:bookmarkStart w:id="26" w:name="_GoBack"/>
      <w:bookmarkEnd w:id="26"/>
      <w:r>
        <w:rPr>
          <w:rFonts w:hint="eastAsia"/>
        </w:rPr>
        <w:t>日</w:t>
      </w:r>
    </w:p>
    <w:p w14:paraId="2CE6D7A7"/>
    <w:p w14:paraId="0791A3E5"/>
    <w:p w14:paraId="32E0DD10"/>
    <w:p w14:paraId="3C363700"/>
    <w:p w14:paraId="14349F5E">
      <w:r>
        <w:rPr>
          <w:rFonts w:hint="eastAsia"/>
        </w:rPr>
        <w:t xml:space="preserve">                     阳西县财政局制</w:t>
      </w:r>
    </w:p>
    <w:p w14:paraId="05E7E467">
      <w:r>
        <w:rPr>
          <w:rFonts w:hint="eastAsia"/>
        </w:rPr>
        <w:t xml:space="preserve">                         202</w:t>
      </w:r>
      <w:r>
        <w:rPr>
          <w:rFonts w:hint="eastAsia"/>
          <w:lang w:val="en-US" w:eastAsia="zh-CN"/>
        </w:rPr>
        <w:t>5</w:t>
      </w:r>
      <w:r>
        <w:rPr>
          <w:rFonts w:hint="eastAsia"/>
        </w:rPr>
        <w:t>年</w:t>
      </w:r>
    </w:p>
    <w:p w14:paraId="476C3ECD"/>
    <w:p w14:paraId="0D4E116E"/>
    <w:p w14:paraId="3650A5CD">
      <w:pPr>
        <w:pStyle w:val="10"/>
        <w:ind w:firstLine="640"/>
        <w:rPr>
          <w:rFonts w:ascii="仿宋_GB2312" w:hAnsi="Times New Roman" w:eastAsia="仿宋_GB2312"/>
          <w:sz w:val="32"/>
          <w:szCs w:val="32"/>
        </w:rPr>
        <w:sectPr>
          <w:pgSz w:w="11906" w:h="16838"/>
          <w:pgMar w:top="2041" w:right="1417" w:bottom="1417" w:left="1531" w:header="851" w:footer="992" w:gutter="0"/>
          <w:pgNumType w:fmt="numberInDash" w:start="1"/>
          <w:cols w:space="720" w:num="1"/>
          <w:docGrid w:type="lines" w:linePitch="312" w:charSpace="0"/>
        </w:sectPr>
      </w:pPr>
    </w:p>
    <w:p w14:paraId="588E79DB">
      <w:pPr>
        <w:ind w:firstLine="616" w:firstLineChars="200"/>
        <w:rPr>
          <w:rFonts w:ascii="方正小标宋简体" w:eastAsia="方正小标宋简体"/>
        </w:rPr>
      </w:pPr>
      <w:bookmarkStart w:id="0" w:name="_Toc28838"/>
      <w:bookmarkStart w:id="1" w:name="_Toc8021_WPSOffice_Level2"/>
      <w:r>
        <w:rPr>
          <w:rFonts w:hint="eastAsia" w:ascii="方正小标宋简体" w:eastAsia="方正小标宋简体"/>
        </w:rPr>
        <w:t>一、部门基本情况</w:t>
      </w:r>
      <w:bookmarkEnd w:id="0"/>
    </w:p>
    <w:bookmarkEnd w:id="1"/>
    <w:p w14:paraId="22B6BF1B">
      <w:pPr>
        <w:ind w:firstLine="616" w:firstLineChars="200"/>
        <w:rPr>
          <w:b w:val="0"/>
          <w:bCs/>
        </w:rPr>
      </w:pPr>
      <w:bookmarkStart w:id="2" w:name="_Toc23683"/>
      <w:bookmarkStart w:id="3" w:name="_Toc30104"/>
      <w:bookmarkStart w:id="4" w:name="_Toc5988_WPSOffice_Level3"/>
      <w:r>
        <w:rPr>
          <w:rFonts w:hint="eastAsia"/>
          <w:b w:val="0"/>
          <w:bCs/>
        </w:rPr>
        <w:t>（一）部门整体概况</w:t>
      </w:r>
      <w:bookmarkEnd w:id="2"/>
      <w:bookmarkEnd w:id="3"/>
      <w:bookmarkEnd w:id="4"/>
      <w:r>
        <w:rPr>
          <w:rFonts w:hint="eastAsia"/>
          <w:b w:val="0"/>
          <w:bCs/>
        </w:rPr>
        <w:t>。</w:t>
      </w:r>
    </w:p>
    <w:p w14:paraId="6D1A2F63">
      <w:pPr>
        <w:ind w:firstLine="616" w:firstLineChars="200"/>
        <w:rPr>
          <w:rFonts w:hint="eastAsia" w:ascii="仿宋_GB2312" w:hAnsi="仿宋_GB2312" w:eastAsia="仿宋_GB2312" w:cs="仿宋_GB2312"/>
          <w:b w:val="0"/>
          <w:bCs/>
          <w:lang w:val="en-US" w:eastAsia="zh-CN"/>
        </w:rPr>
      </w:pPr>
      <w:bookmarkStart w:id="5" w:name="_Toc14936_WPSOffice_Level2"/>
      <w:bookmarkStart w:id="6" w:name="_Toc25996"/>
      <w:r>
        <w:rPr>
          <w:rFonts w:hint="eastAsia" w:ascii="仿宋_GB2312" w:hAnsi="仿宋_GB2312" w:eastAsia="仿宋_GB2312" w:cs="仿宋_GB2312"/>
          <w:b w:val="0"/>
          <w:bCs/>
        </w:rPr>
        <w:t>办公室。承担重要文稿起草工作：负责</w:t>
      </w:r>
      <w:r>
        <w:rPr>
          <w:rFonts w:hint="eastAsia" w:ascii="仿宋_GB2312" w:hAnsi="仿宋_GB2312" w:eastAsia="仿宋_GB2312" w:cs="仿宋_GB2312"/>
          <w:b w:val="0"/>
          <w:bCs/>
          <w:lang w:val="en-US" w:eastAsia="zh-CN"/>
        </w:rPr>
        <w:t>文电、会务、机要、保密、档案、信息、信访维稳、宣传、政务公开、安全保卫、公务用车等行政事务工作：负责机构编制、人事管理、卫生健康等工作：负责局党组日常工作：负责精神文明建设工作：负责联系、指导本局工青妇工作：负责局机关和指导下属事业单位的党群及国有资产管理工作：负责内部审计工作。 　　</w:t>
      </w:r>
    </w:p>
    <w:p w14:paraId="54843398">
      <w:pPr>
        <w:ind w:firstLine="616" w:firstLineChars="200"/>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政策法规行政审批与医保基金监管股。拟订人力资源和社会保障、医疗保障事业发展规划、年度计划及有关贯彻实施办法、规范性文件并指导组织实施.承担规范性文件、重大行政决策的合法性审查工作：承担事业单位人员的综合管理工作：拟订机关事业单位后勤服务人员社会化管理措施：承担有关统计管理。和法制宣传工作：承办依法行政和法制建设工作，承办行政复议、行政应诉和执法监督及重大行政执法决定法制审核等法制工作：承担权责清单调整工作：承办县政府任免工作人员有关事宜：会同有关部门拟订县荣誉制度和政府奖励制度：组织制定并实施行政审批集中办理流程和操作规则职责：拟订加强局行政效能监督管理的政策制度并组织实施：负责局机关和直属单位贯彻法规政策、行政效能以及行政审批的监督：负责局机关行政审批和社会事务服务事项标准化建设：统一受理局机关面向社会的行政审批和社会事务服务事项业务：承办局机关证书发放、业务查询和文书送达等工作：承担本局网上办事大厅的管理工作：指导、监督全县人社系统、医疗系统窗口建设和管理工作：负责行风建设工作：组织实施医疗保障基金监督管理工作：建立健全医疗保障基金风险识别、预警和防控机制，拟订应对预案：监督管理纳入医疗保障支付范围的医疗服务行为和医疗费用.规范医保经办业务：依法查处医疗保障领域违法违规行为。 　　</w:t>
      </w:r>
    </w:p>
    <w:p w14:paraId="6C9AD11B">
      <w:pPr>
        <w:ind w:firstLine="616" w:firstLineChars="200"/>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财务与基金监督股。承担人力资源和社会保障资（基）金财务管理办法监督实施工作：会同有关部门编制人力资源和社会保障资（基）金预决算：编制部门经费预决算并管理相关专项经费：组织预算执行情况的绩效评价工作：综合平衡社会保险调剂基金和就业资（基）金：监督养老、失业、工伤等社会保险基金管理：负责对接外部审计工作：负责局机关和指导下属事业单位财务工作。 　　</w:t>
      </w:r>
    </w:p>
    <w:p w14:paraId="695DBF25">
      <w:pPr>
        <w:ind w:firstLine="616" w:firstLineChars="200"/>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就业促进股。组织落实劳动者平等就业、农村劳动力转移就业和跨地区有序流动政策：参与拟订就业创业专项资金使用管理规范：贯彻落实高校毕业生就业创业政策、就业援助和特殊群体就业措施：拟订人力资源市场发展规划，拟订鼓励城乡各类劳动者创业的政策并组织实施：参与拟订有关创业担保贷款和创业引导等领域的基金管理、社会力量参与创业服务等政策并组织实施：指导和规范全县创业项目开发工作：指导和规范全县公共创业服务体系、创业孵化基地建设：组织实施具级促进创业项目和创业典型宣传等工作。 　　</w:t>
      </w:r>
    </w:p>
    <w:p w14:paraId="29A4EB15">
      <w:pPr>
        <w:ind w:firstLine="616" w:firstLineChars="200"/>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调解仲裁管理股（县劳动人事争议仲裁委员会办公 室）。统筹拟订全县劳动人事争议调解仲裁工作实施规范：指导开展劳动人事争议预防、调解工作：指导、监督劳动人事争议仲裁工作：加强调解、仲裁工作人员的培训和管理。 　　</w:t>
      </w:r>
    </w:p>
    <w:p w14:paraId="4115F2B6">
      <w:pPr>
        <w:ind w:firstLine="616" w:firstLineChars="200"/>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培训教育和专业技术人员管理股。拟订职业技能分类、职业技能地方标准：承担职业培训机构的管理工作：组织承担技工学校办学资格初审、申报和指导管理工作：拟订培训专项资金使用管理规范：承担专业技术人员继续教育、农村劳动力等培训工作：承担全县创业专家（导师）队伍建设和创业培训（实训）工作：拟订并组织实施劳动者职业培训规划和政策：拟订高技能人才、农村实用人才培养、评价、激励政策：完善职业技能资格制度：统筹管理职业技能竞赛：综合管理全县职业技能鉴定工作：承担技能大师工作室等管理工作：承担县直和行业职业技能鉴定机构设置、管理等工作：贯彻落实专业技术人员管理政策：承办深化职称制度改革事宜：监督、指导本具各专业职称评委会及其日常工作部门工作，监督、指导专业技术资格、执业资格考试制度以及职务评聘制度的实施：承担享受政府特殊津贴专家的综合管理工作：监督、指导我县博士工作站和博士后工作站 的管理和服务工作。 　　</w:t>
      </w:r>
    </w:p>
    <w:p w14:paraId="10118CD7">
      <w:pPr>
        <w:ind w:firstLine="616" w:firstLineChars="200"/>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事业单位人事管理股。指导事业单位人事制度改革和人事管理工作：拟订事业单位人事制度改革方案及事业单位人员管理政策并组织实施：承办事业单位岗位设置方案的核准、岗位聘用及备案事宜：承担事业单位工作人员的考核、奖惩有关工作：承担事业单位招收聘用制干部相关工作：指导实施机关事业单位合同制职员管理政策：承担机关事业单位合同制职员的聘用、解聘、辞聘、劳动工资、档案管理等工作。 　　</w:t>
      </w:r>
    </w:p>
    <w:p w14:paraId="4FF9E3A6">
      <w:pPr>
        <w:ind w:firstLine="616" w:firstLineChars="200"/>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劳动关系与工资福利股。承担事业单位工作人员工资 统计与综合分析工作：贯彻落实事业单位工作人员工资收入分配、福利和离退休政策：负责事业单位工作人员连续工龄核定事宜：拟订机关事业单位工勤岗位等级规范并组织实施：承担事业单位工作人员晋级增资工作：承担事业单位绩效工资总量的核定工作：承担中小学教师和部分其他事业单位工作人员工资统发工作：拟订劳动关系政策、劳动合同和集体合同制度实施规范：拟订劳务派遣用工管理政策并组织实施：拟订企业职工工资收入分配的宏观调控政策和国有企业薪酬管理政策.指导、监督国有企业工资总额管理和国有企业负责人薪酬分配：指导和协调企业关闭、破产、改制等职工分流安置工作：组织实施企业相关人员工资水平调查工作：指导劳动标准制定工作：贯彻执行禁止非法使用童工政策和女工、未成年工的特殊劳动保护政策：指导劳动关系相关工作。 　　</w:t>
      </w:r>
    </w:p>
    <w:p w14:paraId="57D6FB3A">
      <w:pPr>
        <w:ind w:firstLine="616" w:firstLineChars="200"/>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养老失业工伤保险股。统筹拟订城镇职工、机关事业单位基本养老保险及其补充养老保险政策并组织实施：拟订企业年金、职业年金政策并组织实施：拟订城乡居民基本养老保险和被征地农民社会保障和企业退休人员社会化管理服务的政策、规划和标准并组织实施：完善城镇职工养老保险、机关事业单位养老保险基金预测预警制度：拟订失业保险政策、标准和基金管理办法.建立失业监测和预警制度。拟订预防、调节、控制较大规模的和经济结构调整中涉及的职工安置权益保障政策：承担审批政策性提前退休的有关工作：拟订征地方案中有关被征地农民社会保障措施的审核办法并组织实施：会同有关部门拟订城乡居民基本养老保险和被征地农民养老保险基金管理制度、运营办法和经办机构的管理规则：参与指导、监督城乡居民基本养老保险和被征地农民养老保险基金的征缴、待遇的核发工作：拟订工伤保险政策、规划和标准并组织实施：完善工伤预防、认定和康复政策：组织拟订工伤保险定点医疗机构、康复机构、康复器具安装机构的资格标准和管理政策：负责工伤认定工作：负责安全生产工作。 　　</w:t>
      </w:r>
    </w:p>
    <w:p w14:paraId="1F831AE4">
      <w:pPr>
        <w:ind w:firstLine="616" w:firstLineChars="200"/>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医疗保障和医药服务管理股。承担全县医疗保障相关数据的管理、统计分析及精算等工作，推进医疗保障标准化和信息化建设：审核汇总全县职工基本医疗保险基金、城乡居民基本医疗保险基金、生育保险基金预决算草案：贯彻执行医疗保障筹资和待遇政策.统筹城乡医疗保障待遇标准：统筹推进多层次医疗保障体系建设：建立健全医疗保障关系转移接续制度：组织拟订长期护理保险制度改革方案并组织实施：贯彻落实县直和中央、省、市驻阳西单位医疗保障改革政策，制定管理办法：组织实施医疗救助工作：按照国家有关规定组织实施医疗保障目录和支付标准：贯彻落实定点医药机构医保协议和支付管理、异地就医等管理办法和结算政策并组织实施.负责指导全县医疗保障定点机构管理：组织开展医疗保障基金支付方式改革，协同推动建立健全分级诊疗制度：建立健全定点医药服务评价体系和信息查找披露制度：组织开展药品、医用耗材、医疗技术的经济性评价：贯彻落实药品、医用耗材价格和医疗服务项目、医疗服务设施收费等政策并组织实施，建立价格信息监测和信息发布制度：拟订药品、医用耗材的招标采购、配送及结算管理政策并监督实施，协调药品、医用耗材招标采购平台建设：指导、组织、监督全县药品、医用耗材的联合采购、配送和结算管理。 　　</w:t>
      </w:r>
    </w:p>
    <w:p w14:paraId="4168D07D">
      <w:pPr>
        <w:ind w:firstLine="616" w:firstLineChars="200"/>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阳西县劳动保障监察综合执法大队。拟订并贯彻落实劳动监察制度、执法规范和标准：依法行使人力资源和社会保障监督检查权：依法开展劳动保障监察执法工作：组织、协调、监督、指导全县劳动保障监察执法工作：调查、处理全县人力资源社会保障重大突发应急事件和群体性事件：组织开展全县性专项执法工作：组织实施劳资纠纷风险预警防范：组织执法人员定期参加执法资格培训：依法受理劳动监察举报投诉，承担处理劳动监察来信来访工作，并指导全县劳动保障信访工作。 　　</w:t>
      </w:r>
    </w:p>
    <w:p w14:paraId="68A7E4A8">
      <w:pPr>
        <w:numPr>
          <w:ilvl w:val="0"/>
          <w:numId w:val="0"/>
        </w:numPr>
        <w:ind w:firstLine="616" w:firstLineChars="200"/>
        <w:rPr>
          <w:rFonts w:hint="eastAsia" w:ascii="仿宋_GB2312" w:hAnsi="仿宋_GB2312" w:eastAsia="仿宋_GB2312" w:cs="仿宋_GB2312"/>
          <w:b w:val="0"/>
          <w:bCs/>
        </w:rPr>
      </w:pPr>
      <w:r>
        <w:rPr>
          <w:rFonts w:hint="eastAsia" w:ascii="仿宋_GB2312" w:hAnsi="仿宋_GB2312" w:eastAsia="仿宋_GB2312" w:cs="仿宋_GB2312"/>
          <w:b w:val="0"/>
          <w:bCs/>
        </w:rPr>
        <w:t>人员构成情况: 阳西县人力资源和社会保障局机关在职人员30人，机关后勤编4人，退休人员8人，合同制职员1人</w:t>
      </w:r>
      <w:r>
        <w:rPr>
          <w:rFonts w:hint="eastAsia" w:ascii="仿宋_GB2312" w:hAnsi="仿宋_GB2312" w:cs="仿宋_GB2312"/>
          <w:b w:val="0"/>
          <w:bCs/>
          <w:lang w:eastAsia="zh-CN"/>
        </w:rPr>
        <w:t>；</w:t>
      </w:r>
      <w:r>
        <w:rPr>
          <w:rFonts w:hint="eastAsia" w:ascii="仿宋_GB2312" w:hAnsi="仿宋_GB2312" w:eastAsia="仿宋_GB2312" w:cs="仿宋_GB2312"/>
          <w:b w:val="0"/>
          <w:bCs/>
        </w:rPr>
        <w:t>阳西县人事考试中心在职人员4人</w:t>
      </w:r>
      <w:r>
        <w:rPr>
          <w:rFonts w:hint="eastAsia" w:ascii="仿宋_GB2312" w:hAnsi="仿宋_GB2312" w:cs="仿宋_GB2312"/>
          <w:b w:val="0"/>
          <w:bCs/>
          <w:lang w:eastAsia="zh-CN"/>
        </w:rPr>
        <w:t>；</w:t>
      </w:r>
      <w:r>
        <w:rPr>
          <w:rFonts w:hint="eastAsia" w:ascii="仿宋_GB2312" w:hAnsi="仿宋_GB2312" w:eastAsia="仿宋_GB2312" w:cs="仿宋_GB2312"/>
          <w:b w:val="0"/>
          <w:bCs/>
        </w:rPr>
        <w:t>阳西县人力资源综合训练中心在职人员5人</w:t>
      </w:r>
      <w:r>
        <w:rPr>
          <w:rFonts w:hint="eastAsia" w:ascii="仿宋_GB2312" w:hAnsi="仿宋_GB2312" w:cs="仿宋_GB2312"/>
          <w:b w:val="0"/>
          <w:bCs/>
          <w:lang w:eastAsia="zh-CN"/>
        </w:rPr>
        <w:t>；</w:t>
      </w:r>
      <w:r>
        <w:rPr>
          <w:rFonts w:hint="eastAsia" w:ascii="仿宋_GB2312" w:hAnsi="仿宋_GB2312" w:eastAsia="仿宋_GB2312" w:cs="仿宋_GB2312"/>
          <w:b w:val="0"/>
          <w:bCs/>
        </w:rPr>
        <w:t>阳西县职业技能鉴定中心在职人员3人</w:t>
      </w:r>
      <w:r>
        <w:rPr>
          <w:rFonts w:hint="eastAsia" w:ascii="仿宋_GB2312" w:hAnsi="仿宋_GB2312" w:cs="仿宋_GB2312"/>
          <w:b w:val="0"/>
          <w:bCs/>
          <w:lang w:eastAsia="zh-CN"/>
        </w:rPr>
        <w:t>；</w:t>
      </w:r>
      <w:r>
        <w:rPr>
          <w:rFonts w:hint="eastAsia" w:ascii="仿宋_GB2312" w:hAnsi="仿宋_GB2312" w:eastAsia="仿宋_GB2312" w:cs="仿宋_GB2312"/>
          <w:b w:val="0"/>
          <w:bCs/>
        </w:rPr>
        <w:t>阳西县公共就业服务中心在职人员9人，离退休人员15人</w:t>
      </w:r>
      <w:r>
        <w:rPr>
          <w:rFonts w:hint="eastAsia" w:ascii="仿宋_GB2312" w:hAnsi="仿宋_GB2312" w:cs="仿宋_GB2312"/>
          <w:b w:val="0"/>
          <w:bCs/>
          <w:lang w:eastAsia="zh-CN"/>
        </w:rPr>
        <w:t>；</w:t>
      </w:r>
      <w:r>
        <w:rPr>
          <w:rFonts w:hint="eastAsia" w:ascii="仿宋_GB2312" w:hAnsi="仿宋_GB2312" w:eastAsia="仿宋_GB2312" w:cs="仿宋_GB2312"/>
          <w:b w:val="0"/>
          <w:bCs/>
        </w:rPr>
        <w:t>阳西县医疗保障事业管理中心在职15人，离退休人员1人，合同制职员5人，政府购买服务职员8人。</w:t>
      </w:r>
    </w:p>
    <w:p w14:paraId="505E8261">
      <w:pPr>
        <w:numPr>
          <w:ilvl w:val="0"/>
          <w:numId w:val="0"/>
        </w:numPr>
        <w:ind w:left="616" w:leftChars="200" w:firstLine="0" w:firstLineChars="0"/>
        <w:rPr>
          <w:b/>
        </w:rPr>
      </w:pPr>
      <w:r>
        <w:rPr>
          <w:rFonts w:hint="eastAsia"/>
          <w:b/>
        </w:rPr>
        <w:t>（二）年度总体工作和重点工作任务</w:t>
      </w:r>
      <w:bookmarkEnd w:id="5"/>
      <w:bookmarkEnd w:id="6"/>
      <w:r>
        <w:rPr>
          <w:rFonts w:hint="eastAsia"/>
          <w:b/>
        </w:rPr>
        <w:t>。</w:t>
      </w:r>
    </w:p>
    <w:p w14:paraId="4A26E1C3">
      <w:pPr>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eastAsia" w:ascii="楷体_GB2312" w:hAnsi="楷体_GB2312" w:eastAsia="楷体_GB2312" w:cs="楷体_GB2312"/>
          <w:b/>
          <w:bCs/>
          <w:sz w:val="32"/>
          <w:szCs w:val="32"/>
        </w:rPr>
      </w:pPr>
      <w:bookmarkStart w:id="7" w:name="_Toc28424_WPSOffice_Level2"/>
      <w:bookmarkStart w:id="8" w:name="_Toc8086"/>
      <w:r>
        <w:rPr>
          <w:rFonts w:hint="eastAsia" w:ascii="楷体_GB2312" w:hAnsi="楷体_GB2312" w:eastAsia="楷体_GB2312" w:cs="楷体_GB2312"/>
          <w:b w:val="0"/>
          <w:bCs w:val="0"/>
          <w:color w:val="000000" w:themeColor="text1"/>
          <w:sz w:val="32"/>
          <w:szCs w:val="32"/>
          <w:highlight w:val="none"/>
          <w:lang w:val="en-US" w:eastAsia="zh-CN"/>
        </w:rPr>
        <w:t>（一）</w:t>
      </w:r>
      <w:r>
        <w:rPr>
          <w:rFonts w:hint="eastAsia" w:ascii="楷体_GB2312" w:hAnsi="楷体_GB2312" w:eastAsia="楷体_GB2312" w:cs="楷体_GB2312"/>
          <w:b w:val="0"/>
          <w:bCs w:val="0"/>
          <w:color w:val="000000" w:themeColor="text1"/>
          <w:sz w:val="32"/>
          <w:szCs w:val="32"/>
          <w:lang w:eastAsia="zh-CN"/>
        </w:rPr>
        <w:t>优化稳就业工作</w:t>
      </w:r>
      <w:r>
        <w:rPr>
          <w:rFonts w:hint="eastAsia" w:ascii="楷体_GB2312" w:hAnsi="楷体_GB2312" w:eastAsia="楷体_GB2312" w:cs="楷体_GB2312"/>
          <w:b w:val="0"/>
          <w:bCs w:val="0"/>
          <w:color w:val="000000" w:themeColor="text1"/>
          <w:sz w:val="32"/>
          <w:szCs w:val="32"/>
        </w:rPr>
        <w:t>，</w:t>
      </w:r>
      <w:r>
        <w:rPr>
          <w:rFonts w:hint="eastAsia" w:ascii="楷体_GB2312" w:hAnsi="楷体_GB2312" w:eastAsia="楷体_GB2312" w:cs="楷体_GB2312"/>
          <w:b w:val="0"/>
          <w:bCs w:val="0"/>
          <w:color w:val="000000" w:themeColor="text1"/>
          <w:sz w:val="32"/>
          <w:szCs w:val="32"/>
          <w:lang w:eastAsia="zh-CN"/>
        </w:rPr>
        <w:t>保持就业局势稳定</w:t>
      </w:r>
    </w:p>
    <w:p w14:paraId="452D953D">
      <w:pPr>
        <w:pageBreakBefore w:val="0"/>
        <w:widowControl w:val="0"/>
        <w:kinsoku/>
        <w:overflowPunct/>
        <w:topLinePunct w:val="0"/>
        <w:autoSpaceDN/>
        <w:bidi w:val="0"/>
        <w:adjustRightInd/>
        <w:snapToGrid/>
        <w:spacing w:line="560" w:lineRule="exact"/>
        <w:ind w:firstLine="616" w:firstLineChars="200"/>
        <w:jc w:val="both"/>
        <w:textAlignment w:val="auto"/>
        <w:rPr>
          <w:rFonts w:hint="eastAsia" w:ascii="仿宋_GB2312" w:hAnsi="仿宋_GB2312" w:eastAsia="仿宋_GB2312" w:cs="仿宋_GB2312"/>
          <w:b w:val="0"/>
          <w:bCs w:val="0"/>
          <w:color w:val="000000" w:themeColor="text1"/>
          <w:kern w:val="2"/>
          <w:sz w:val="32"/>
          <w:szCs w:val="32"/>
          <w:lang w:val="en-US" w:eastAsia="zh-CN"/>
        </w:rPr>
      </w:pPr>
      <w:r>
        <w:rPr>
          <w:rFonts w:hint="eastAsia" w:ascii="仿宋_GB2312" w:hAnsi="仿宋_GB2312" w:eastAsia="仿宋_GB2312" w:cs="仿宋_GB2312"/>
          <w:b/>
          <w:bCs/>
          <w:color w:val="000000"/>
          <w:sz w:val="32"/>
          <w:szCs w:val="32"/>
        </w:rPr>
        <w:t>一是</w:t>
      </w:r>
      <w:r>
        <w:rPr>
          <w:rFonts w:hint="eastAsia" w:ascii="仿宋_GB2312" w:hAnsi="仿宋_GB2312" w:eastAsia="仿宋_GB2312" w:cs="仿宋_GB2312"/>
          <w:b w:val="0"/>
          <w:bCs w:val="0"/>
          <w:color w:val="000000"/>
          <w:sz w:val="32"/>
          <w:szCs w:val="32"/>
        </w:rPr>
        <w:t>精准施策保就业。截至目前，我县就业主要指标按时序完成。促进城镇新增就业下达任务2100人，我县已完成</w:t>
      </w:r>
      <w:r>
        <w:rPr>
          <w:rFonts w:hint="eastAsia" w:ascii="仿宋_GB2312" w:hAnsi="仿宋_GB2312" w:eastAsia="仿宋_GB2312" w:cs="仿宋_GB2312"/>
          <w:b w:val="0"/>
          <w:bCs w:val="0"/>
          <w:color w:val="000000"/>
          <w:sz w:val="32"/>
          <w:szCs w:val="32"/>
          <w:lang w:val="en-US" w:eastAsia="zh-CN"/>
        </w:rPr>
        <w:t>2232</w:t>
      </w:r>
      <w:r>
        <w:rPr>
          <w:rFonts w:hint="eastAsia" w:ascii="仿宋_GB2312" w:hAnsi="仿宋_GB2312" w:eastAsia="仿宋_GB2312" w:cs="仿宋_GB2312"/>
          <w:b w:val="0"/>
          <w:bCs w:val="0"/>
          <w:color w:val="000000"/>
          <w:sz w:val="32"/>
          <w:szCs w:val="32"/>
        </w:rPr>
        <w:t>人，完成本年度目标任务的10</w:t>
      </w:r>
      <w:r>
        <w:rPr>
          <w:rFonts w:hint="eastAsia" w:ascii="仿宋_GB2312" w:hAnsi="仿宋_GB2312" w:eastAsia="仿宋_GB2312" w:cs="仿宋_GB2312"/>
          <w:b w:val="0"/>
          <w:bCs w:val="0"/>
          <w:color w:val="000000"/>
          <w:sz w:val="32"/>
          <w:szCs w:val="32"/>
          <w:lang w:val="en-US" w:eastAsia="zh-CN"/>
        </w:rPr>
        <w:t>6.2</w:t>
      </w:r>
      <w:r>
        <w:rPr>
          <w:rFonts w:hint="eastAsia" w:ascii="仿宋_GB2312" w:hAnsi="仿宋_GB2312" w:eastAsia="仿宋_GB2312" w:cs="仿宋_GB2312"/>
          <w:b w:val="0"/>
          <w:bCs w:val="0"/>
          <w:color w:val="000000"/>
          <w:sz w:val="32"/>
          <w:szCs w:val="32"/>
        </w:rPr>
        <w:t>%；城镇失业人员再就业下达任务1000人，我县已完成1108人，完成本年度目标任务的110.8%；就业困难人员实现就业下达任务170人，我县已完成170人，完成本年度目标任务的100%；促进创业下达任务400人，我县已完成404人，完成本年度目标任务的101%。</w:t>
      </w:r>
      <w:r>
        <w:rPr>
          <w:rFonts w:hint="eastAsia" w:ascii="仿宋_GB2312" w:hAnsi="仿宋_GB2312" w:eastAsia="仿宋_GB2312" w:cs="仿宋_GB2312"/>
          <w:b/>
          <w:bCs/>
          <w:color w:val="000000"/>
          <w:sz w:val="32"/>
          <w:szCs w:val="32"/>
        </w:rPr>
        <w:t>二是</w:t>
      </w:r>
      <w:r>
        <w:rPr>
          <w:rFonts w:hint="eastAsia" w:ascii="仿宋_GB2312" w:hAnsi="仿宋_GB2312" w:eastAsia="仿宋_GB2312" w:cs="仿宋_GB2312"/>
          <w:b w:val="0"/>
          <w:bCs w:val="0"/>
          <w:color w:val="000000"/>
          <w:sz w:val="32"/>
          <w:szCs w:val="32"/>
        </w:rPr>
        <w:t>多措并举稳就业。通过积极开展南粤春暖“稳岗留工”等专场招聘行动、持续跟踪企业招工情况和劳动力市场供求变化、组织开展企业用工返岗和劳动者求职大走访大排查等行动，全力优化就业服务，激活市场活力。截至目前线上线下共举办招聘会18场，招聘企业502家次，提供岗位14040个。</w:t>
      </w:r>
      <w:r>
        <w:rPr>
          <w:rFonts w:hint="eastAsia" w:ascii="仿宋_GB2312" w:hAnsi="仿宋_GB2312" w:eastAsia="仿宋_GB2312" w:cs="仿宋_GB2312"/>
          <w:b/>
          <w:bCs/>
          <w:color w:val="000000"/>
          <w:sz w:val="32"/>
          <w:szCs w:val="32"/>
        </w:rPr>
        <w:t>三是</w:t>
      </w:r>
      <w:r>
        <w:rPr>
          <w:rFonts w:hint="eastAsia" w:ascii="仿宋_GB2312" w:hAnsi="仿宋_GB2312" w:eastAsia="仿宋_GB2312" w:cs="仿宋_GB2312"/>
          <w:b w:val="0"/>
          <w:bCs w:val="0"/>
          <w:color w:val="000000"/>
          <w:sz w:val="32"/>
          <w:szCs w:val="32"/>
        </w:rPr>
        <w:t>拓宽空间扩就业。进一步发挥创业带动就业的作用，大力推进创业担保贷款，支持自主创业。今年以来，发放创业担保贷款</w:t>
      </w:r>
      <w:r>
        <w:rPr>
          <w:rFonts w:hint="eastAsia" w:ascii="仿宋_GB2312" w:hAnsi="仿宋_GB2312" w:eastAsia="仿宋_GB2312" w:cs="仿宋_GB2312"/>
          <w:b w:val="0"/>
          <w:bCs w:val="0"/>
          <w:color w:val="000000"/>
          <w:sz w:val="32"/>
          <w:szCs w:val="32"/>
          <w:lang w:val="en-US" w:eastAsia="zh-CN"/>
        </w:rPr>
        <w:t>8</w:t>
      </w:r>
      <w:r>
        <w:rPr>
          <w:rFonts w:hint="eastAsia" w:ascii="仿宋_GB2312" w:hAnsi="仿宋_GB2312" w:eastAsia="仿宋_GB2312" w:cs="仿宋_GB2312"/>
          <w:b w:val="0"/>
          <w:bCs w:val="0"/>
          <w:color w:val="000000"/>
          <w:sz w:val="32"/>
          <w:szCs w:val="32"/>
        </w:rPr>
        <w:t>笔共4</w:t>
      </w:r>
      <w:r>
        <w:rPr>
          <w:rFonts w:hint="eastAsia" w:ascii="仿宋_GB2312" w:hAnsi="仿宋_GB2312" w:eastAsia="仿宋_GB2312" w:cs="仿宋_GB2312"/>
          <w:b w:val="0"/>
          <w:bCs w:val="0"/>
          <w:color w:val="000000"/>
          <w:sz w:val="32"/>
          <w:szCs w:val="32"/>
          <w:lang w:val="en-US" w:eastAsia="zh-CN"/>
        </w:rPr>
        <w:t>99</w:t>
      </w:r>
      <w:r>
        <w:rPr>
          <w:rFonts w:hint="eastAsia" w:ascii="仿宋_GB2312" w:hAnsi="仿宋_GB2312" w:eastAsia="仿宋_GB2312" w:cs="仿宋_GB2312"/>
          <w:b w:val="0"/>
          <w:bCs w:val="0"/>
          <w:color w:val="000000"/>
          <w:sz w:val="32"/>
          <w:szCs w:val="32"/>
        </w:rPr>
        <w:t>万元，其中小微企业2笔370万元，个人</w:t>
      </w:r>
      <w:r>
        <w:rPr>
          <w:rFonts w:hint="eastAsia" w:ascii="仿宋_GB2312" w:hAnsi="仿宋_GB2312" w:eastAsia="仿宋_GB2312" w:cs="仿宋_GB2312"/>
          <w:b w:val="0"/>
          <w:bCs w:val="0"/>
          <w:color w:val="000000"/>
          <w:sz w:val="32"/>
          <w:szCs w:val="32"/>
          <w:lang w:val="en-US" w:eastAsia="zh-CN"/>
        </w:rPr>
        <w:t>6</w:t>
      </w:r>
      <w:r>
        <w:rPr>
          <w:rFonts w:hint="eastAsia" w:ascii="仿宋_GB2312" w:hAnsi="仿宋_GB2312" w:eastAsia="仿宋_GB2312" w:cs="仿宋_GB2312"/>
          <w:b w:val="0"/>
          <w:bCs w:val="0"/>
          <w:color w:val="000000"/>
          <w:sz w:val="32"/>
          <w:szCs w:val="32"/>
        </w:rPr>
        <w:t>笔共</w:t>
      </w:r>
      <w:r>
        <w:rPr>
          <w:rFonts w:hint="eastAsia" w:ascii="仿宋_GB2312" w:hAnsi="仿宋_GB2312" w:eastAsia="仿宋_GB2312" w:cs="仿宋_GB2312"/>
          <w:b w:val="0"/>
          <w:bCs w:val="0"/>
          <w:color w:val="000000"/>
          <w:sz w:val="32"/>
          <w:szCs w:val="32"/>
          <w:lang w:val="en-US" w:eastAsia="zh-CN"/>
        </w:rPr>
        <w:t>129</w:t>
      </w:r>
      <w:r>
        <w:rPr>
          <w:rFonts w:hint="eastAsia" w:ascii="仿宋_GB2312" w:hAnsi="仿宋_GB2312" w:eastAsia="仿宋_GB2312" w:cs="仿宋_GB2312"/>
          <w:b w:val="0"/>
          <w:bCs w:val="0"/>
          <w:color w:val="000000"/>
          <w:sz w:val="32"/>
          <w:szCs w:val="32"/>
        </w:rPr>
        <w:t>万元。</w:t>
      </w:r>
      <w:r>
        <w:rPr>
          <w:rFonts w:hint="eastAsia" w:ascii="仿宋_GB2312" w:hAnsi="仿宋_GB2312" w:eastAsia="仿宋_GB2312" w:cs="仿宋_GB2312"/>
          <w:b/>
          <w:bCs/>
          <w:color w:val="000000"/>
          <w:sz w:val="32"/>
          <w:szCs w:val="32"/>
        </w:rPr>
        <w:t>四是</w:t>
      </w:r>
      <w:r>
        <w:rPr>
          <w:rFonts w:hint="eastAsia" w:ascii="仿宋_GB2312" w:hAnsi="仿宋_GB2312" w:eastAsia="仿宋_GB2312" w:cs="仿宋_GB2312"/>
          <w:b w:val="0"/>
          <w:bCs w:val="0"/>
          <w:color w:val="000000"/>
          <w:sz w:val="32"/>
          <w:szCs w:val="32"/>
        </w:rPr>
        <w:t>聚焦重点促就业。紧盯高校毕业生、农民工等重点就业群体，鼓励企业开发更多更优质的就业岗位、见习岗位吸纳高校毕业生和失业青年，增强高校毕业生就业能力。今年以来，共认定就业见习基地10个，开发就业见习岗位</w:t>
      </w:r>
      <w:r>
        <w:rPr>
          <w:rFonts w:hint="eastAsia" w:ascii="仿宋_GB2312" w:hAnsi="仿宋_GB2312" w:eastAsia="仿宋_GB2312" w:cs="仿宋_GB2312"/>
          <w:b w:val="0"/>
          <w:bCs w:val="0"/>
          <w:color w:val="000000"/>
          <w:sz w:val="32"/>
          <w:szCs w:val="32"/>
          <w:lang w:val="en-US" w:eastAsia="zh-CN"/>
        </w:rPr>
        <w:t>210</w:t>
      </w:r>
      <w:r>
        <w:rPr>
          <w:rFonts w:hint="eastAsia" w:ascii="仿宋_GB2312" w:hAnsi="仿宋_GB2312" w:eastAsia="仿宋_GB2312" w:cs="仿宋_GB2312"/>
          <w:b w:val="0"/>
          <w:bCs w:val="0"/>
          <w:color w:val="000000"/>
          <w:sz w:val="32"/>
          <w:szCs w:val="32"/>
        </w:rPr>
        <w:t>个，完成下达任务开发250个的</w:t>
      </w:r>
      <w:r>
        <w:rPr>
          <w:rFonts w:hint="eastAsia" w:ascii="仿宋_GB2312" w:hAnsi="仿宋_GB2312" w:eastAsia="仿宋_GB2312" w:cs="仿宋_GB2312"/>
          <w:b w:val="0"/>
          <w:bCs w:val="0"/>
          <w:color w:val="000000"/>
          <w:sz w:val="32"/>
          <w:szCs w:val="32"/>
          <w:lang w:val="en-US" w:eastAsia="zh-CN"/>
        </w:rPr>
        <w:t>84</w:t>
      </w:r>
      <w:r>
        <w:rPr>
          <w:rFonts w:hint="eastAsia" w:ascii="仿宋_GB2312" w:hAnsi="仿宋_GB2312" w:eastAsia="仿宋_GB2312" w:cs="仿宋_GB2312"/>
          <w:b w:val="0"/>
          <w:bCs w:val="0"/>
          <w:color w:val="000000"/>
          <w:sz w:val="32"/>
          <w:szCs w:val="32"/>
        </w:rPr>
        <w:t>%；已收到安置材料备案的见习生87人，完成下达任务安置65人的133%，发放就业见习补贴67.9万元。已服务2024年离校未就业高校毕业生873人，联系服务率100%。</w:t>
      </w:r>
    </w:p>
    <w:p w14:paraId="0648A5F8">
      <w:pPr>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rPr>
      </w:pPr>
      <w:r>
        <w:rPr>
          <w:rFonts w:hint="eastAsia" w:ascii="楷体_GB2312" w:hAnsi="楷体_GB2312" w:eastAsia="楷体_GB2312" w:cs="楷体_GB2312"/>
          <w:b w:val="0"/>
          <w:bCs w:val="0"/>
          <w:color w:val="000000" w:themeColor="text1"/>
          <w:sz w:val="32"/>
          <w:szCs w:val="32"/>
          <w:highlight w:val="none"/>
          <w:lang w:val="en-US" w:eastAsia="zh-CN"/>
        </w:rPr>
        <w:t>（二）纵深推进三项工程，有效提升全民技能水平</w:t>
      </w:r>
    </w:p>
    <w:p w14:paraId="5E7D7F55">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大力开展“粤菜师傅”“广东技工”“南粤家政”三项工程培训。截止目前，开展补贴性培训任务3000人次，已完成3080人次，完成目标任务的102.6%。</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深入实施“南粤家政”工程。围绕母婴、居家、养老、医护等四大重点项目，开展家政服务职业技能培训，扩大家政人才有效供给，共开展“南粤家政”培训1400人次，已完成2019人次，完成目标任务的144.2%。</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高质量实施“粤菜师傅”工程。目标开展培训任务225人次，已完成50人次，完成目标任务的22.2%。</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积极引导和支持农民工参加职业技能培训。开展“农村电商”培训482人次，完成目标任务数150人次的321%。</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积极推动职业技能等级认定工作。2024年全县新增取得职业资格证书或职业等级证书任务1200人次，已完成722人次，完成目标任务的61%。其中高级工等级完成197人次，中级工等级完成242人次，初级工等级完成218人次。技师及以上等级任务20人次，已完成24人次，完成目标计划的120%。</w:t>
      </w:r>
    </w:p>
    <w:p w14:paraId="04DD1A25">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jc w:val="both"/>
        <w:textAlignment w:val="auto"/>
        <w:rPr>
          <w:rFonts w:hint="eastAsia" w:ascii="楷体_GB2312" w:hAnsi="楷体_GB2312" w:eastAsia="楷体_GB2312" w:cs="楷体_GB2312"/>
          <w:color w:val="000000" w:themeColor="text1"/>
          <w:sz w:val="32"/>
          <w:szCs w:val="32"/>
        </w:rPr>
      </w:pPr>
      <w:r>
        <w:rPr>
          <w:rFonts w:hint="eastAsia" w:ascii="楷体_GB2312" w:hAnsi="楷体_GB2312" w:eastAsia="楷体_GB2312" w:cs="楷体_GB2312"/>
          <w:b w:val="0"/>
          <w:bCs w:val="0"/>
          <w:color w:val="000000" w:themeColor="text1"/>
          <w:sz w:val="32"/>
          <w:szCs w:val="32"/>
          <w:highlight w:val="none"/>
          <w:lang w:val="en-US" w:eastAsia="zh-CN"/>
        </w:rPr>
        <w:t>（三）</w:t>
      </w:r>
      <w:r>
        <w:rPr>
          <w:rFonts w:hint="eastAsia" w:ascii="楷体_GB2312" w:hAnsi="楷体_GB2312" w:eastAsia="楷体_GB2312" w:cs="楷体_GB2312"/>
          <w:b w:val="0"/>
          <w:bCs w:val="0"/>
          <w:color w:val="000000" w:themeColor="text1"/>
          <w:sz w:val="32"/>
          <w:szCs w:val="32"/>
          <w:highlight w:val="none"/>
        </w:rPr>
        <w:t>完善健全社保机制，织密织牢民生保障网</w:t>
      </w:r>
    </w:p>
    <w:p w14:paraId="157C976D">
      <w:pPr>
        <w:keepNext w:val="0"/>
        <w:keepLines w:val="0"/>
        <w:pageBreakBefore w:val="0"/>
        <w:widowControl w:val="0"/>
        <w:numPr>
          <w:ilvl w:val="0"/>
          <w:numId w:val="0"/>
        </w:numPr>
        <w:kinsoku/>
        <w:wordWrap/>
        <w:topLinePunct w:val="0"/>
        <w:bidi w:val="0"/>
        <w:spacing w:line="594" w:lineRule="exact"/>
        <w:ind w:firstLine="616"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一是全力推进社会养老保险扩面征缴工作。</w:t>
      </w:r>
      <w:r>
        <w:rPr>
          <w:rFonts w:hint="eastAsia" w:ascii="仿宋_GB2312" w:hAnsi="仿宋_GB2312" w:eastAsia="仿宋_GB2312" w:cs="仿宋_GB2312"/>
          <w:b w:val="0"/>
          <w:bCs w:val="0"/>
          <w:sz w:val="32"/>
          <w:szCs w:val="32"/>
          <w:lang w:eastAsia="zh-CN"/>
        </w:rPr>
        <w:t>会同有关部门对城乡居民社会养老保险工作及企业职工养老保险扩面征缴工作进行宏观指导和协调，及政策宣传发动和督导检查工作。全力推进社会养老保险扩面征缴工作。2024年，城镇职工养老保险参保50862人，完成市下达任务50080人的101.56%，其中：企业养老参保37100人，完成市下达任务28300人的131.10%，机关养老参保13762人，失业保险参保20448人，完成市下达任务20190人的101.28%，基本养老保险提质增效完成5722人（其中：企业职工养老保险新参保3722人，居保转职保2000人），完成市下达任5722人的100.00%。</w:t>
      </w:r>
      <w:r>
        <w:rPr>
          <w:rFonts w:hint="eastAsia" w:ascii="仿宋_GB2312" w:hAnsi="仿宋_GB2312" w:eastAsia="仿宋_GB2312" w:cs="仿宋_GB2312"/>
          <w:b/>
          <w:bCs/>
          <w:sz w:val="32"/>
          <w:szCs w:val="32"/>
          <w:lang w:eastAsia="zh-CN"/>
        </w:rPr>
        <w:t>二是全力推进工伤保险参保扩面征缴工作。</w:t>
      </w:r>
      <w:r>
        <w:rPr>
          <w:rFonts w:hint="eastAsia" w:ascii="仿宋_GB2312" w:hAnsi="仿宋_GB2312" w:eastAsia="仿宋_GB2312" w:cs="仿宋_GB2312"/>
          <w:b w:val="0"/>
          <w:bCs w:val="0"/>
          <w:sz w:val="32"/>
          <w:szCs w:val="32"/>
          <w:lang w:eastAsia="zh-CN"/>
        </w:rPr>
        <w:t>2024年，工伤保险参保人数39403人，完成市下达任务37729人的104.44%。</w:t>
      </w:r>
      <w:r>
        <w:rPr>
          <w:rFonts w:hint="eastAsia" w:ascii="仿宋_GB2312" w:hAnsi="仿宋_GB2312" w:eastAsia="仿宋_GB2312" w:cs="仿宋_GB2312"/>
          <w:b/>
          <w:bCs/>
          <w:sz w:val="32"/>
          <w:szCs w:val="32"/>
          <w:lang w:val="en-US" w:eastAsia="zh-CN"/>
        </w:rPr>
        <w:t>三是全力推进医疗保险参保扩面征缴工作。</w:t>
      </w:r>
      <w:r>
        <w:rPr>
          <w:rFonts w:hint="eastAsia" w:ascii="仿宋_GB2312" w:hAnsi="仿宋_GB2312" w:eastAsia="仿宋_GB2312" w:cs="仿宋_GB2312"/>
          <w:sz w:val="32"/>
          <w:szCs w:val="32"/>
          <w:lang w:val="en-US" w:eastAsia="zh-CN"/>
        </w:rPr>
        <w:t>截止12月，城镇基本医疗保险参保459665人，其中职工医疗参保37185人（生育保险29648人），完成市下达任务38300人的97.09%；城乡医疗参保422480人，完成市下达任务430600的98.11%。职工医疗基金1-12月征缴收入15962.52万元，待遇支出11978.15万元。城乡医疗基金1-12月征缴收入16803.25万元，待遇支出47163.74万元。</w:t>
      </w:r>
    </w:p>
    <w:p w14:paraId="3B2A1C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jc w:val="both"/>
        <w:textAlignment w:val="auto"/>
        <w:rPr>
          <w:rFonts w:hint="eastAsia" w:ascii="仿宋_GB2312" w:hAnsi="仿宋_GB2312" w:eastAsia="仿宋_GB2312" w:cs="仿宋_GB2312"/>
          <w:b/>
          <w:bCs w:val="0"/>
          <w:color w:val="000000" w:themeColor="text1"/>
          <w:sz w:val="32"/>
          <w:szCs w:val="32"/>
          <w:highlight w:val="none"/>
        </w:rPr>
      </w:pPr>
      <w:r>
        <w:rPr>
          <w:rFonts w:hint="eastAsia" w:ascii="楷体_GB2312" w:hAnsi="楷体_GB2312" w:eastAsia="楷体_GB2312" w:cs="楷体_GB2312"/>
          <w:b w:val="0"/>
          <w:bCs/>
          <w:color w:val="000000" w:themeColor="text1"/>
          <w:sz w:val="32"/>
          <w:szCs w:val="32"/>
          <w:highlight w:val="none"/>
          <w:lang w:val="en-US" w:eastAsia="zh-CN"/>
        </w:rPr>
        <w:t>（四）</w:t>
      </w:r>
      <w:r>
        <w:rPr>
          <w:rFonts w:hint="eastAsia" w:ascii="楷体_GB2312" w:hAnsi="楷体_GB2312" w:eastAsia="楷体_GB2312" w:cs="楷体_GB2312"/>
          <w:b w:val="0"/>
          <w:bCs/>
          <w:color w:val="000000" w:themeColor="text1"/>
          <w:sz w:val="32"/>
          <w:szCs w:val="32"/>
          <w:highlight w:val="none"/>
        </w:rPr>
        <w:t>保障劳动合法权益，构建和谐劳动关系</w:t>
      </w:r>
    </w:p>
    <w:p w14:paraId="46403834">
      <w:pPr>
        <w:keepNext w:val="0"/>
        <w:keepLines w:val="0"/>
        <w:pageBreakBefore w:val="0"/>
        <w:widowControl w:val="0"/>
        <w:numPr>
          <w:ilvl w:val="0"/>
          <w:numId w:val="0"/>
        </w:numPr>
        <w:kinsoku/>
        <w:wordWrap/>
        <w:topLinePunct w:val="0"/>
        <w:bidi w:val="0"/>
        <w:spacing w:line="594" w:lineRule="exact"/>
        <w:ind w:firstLine="616"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2024年以来，根据县委、县政府的统一部置，按照“分级负责、属地管理、谁主管、谁负责”的原则，在联席会议成员单位齐抓共管、密切配合、共同处置下，全力抓好劳资纠纷预防化解工作。</w:t>
      </w:r>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kern w:val="2"/>
          <w:sz w:val="32"/>
          <w:szCs w:val="32"/>
          <w:lang w:val="en-US" w:eastAsia="zh-CN" w:bidi="ar-SA"/>
        </w:rPr>
        <w:t>加大劳动监察执法力度，依法处理劳动保障举报投诉案件。2024年以来，县人社局牵头共检查用人单位75户次，涉及劳动者4976人；接受举报投诉案件102件，涉及人数602人，涉及金额1807.8万元，与去年同期相比增加50%，截止目前共为246名劳动者追回工资待遇516.81万元；移送公安机关涉嫌拒不支付劳动报酬案3宗，其中立案1宗；报警突发处置案件71宗；接收信访维稳中心转办、书记信箱、信访网、全国根治欠薪线索反映平台等线上投诉件1712件，其中全国根治欠薪线索反映平台接收347宗，12345平台等1322宗，信访系统5宗，上级转办案件38宗，做到件件有落实、事事有回音，劳资纠纷案件得到有效化解，没有出现越级上访案件。</w:t>
      </w: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b w:val="0"/>
          <w:bCs w:val="0"/>
          <w:kern w:val="2"/>
          <w:sz w:val="32"/>
          <w:szCs w:val="32"/>
          <w:lang w:val="en-US" w:eastAsia="zh-CN" w:bidi="ar-SA"/>
        </w:rPr>
        <w:t>依法公正办理工伤认定案件。共收到工伤认定申请148宗，其中受理141宗，不予受理3宗，撤销申请9宗，正在等待补正材料1宗，认定118宗，不认定7宗，中止0宗，正在工伤调查9宗，职业伤害申请2宗。2024年行政诉讼案件14宗、行政复议6宗。严格按照《广东省工伤保险条例》有关规定，认真受理工伤案件，为群众维权。</w:t>
      </w:r>
      <w:r>
        <w:rPr>
          <w:rFonts w:hint="eastAsia" w:ascii="仿宋_GB2312" w:hAnsi="仿宋_GB2312" w:eastAsia="仿宋_GB2312" w:cs="仿宋_GB2312"/>
          <w:b/>
          <w:bCs/>
          <w:kern w:val="2"/>
          <w:sz w:val="32"/>
          <w:szCs w:val="32"/>
          <w:lang w:val="en-US" w:eastAsia="zh-CN" w:bidi="ar-SA"/>
        </w:rPr>
        <w:t>三是</w:t>
      </w:r>
      <w:r>
        <w:rPr>
          <w:rFonts w:hint="eastAsia" w:ascii="仿宋_GB2312" w:hAnsi="仿宋_GB2312" w:eastAsia="仿宋_GB2312" w:cs="仿宋_GB2312"/>
          <w:b w:val="0"/>
          <w:bCs w:val="0"/>
          <w:kern w:val="2"/>
          <w:sz w:val="32"/>
          <w:szCs w:val="32"/>
          <w:lang w:val="en-US" w:eastAsia="zh-CN" w:bidi="ar-SA"/>
        </w:rPr>
        <w:t>高质量完成劳动仲裁调解工作。2024年以来共收到仲裁申请案件205宗，其中受理案件148宗，不予受理案件57宗，涉案人数216人，涉案金额约860.5万元。已裁决结案48宗,已调解结案101宗。所有申请案件均依照法定程序审核，按照法律规定审理结案，切实维护当事人的合法权益，有效地促进了我县劳动关系的和谐稳定。</w:t>
      </w:r>
    </w:p>
    <w:p w14:paraId="0493B39C">
      <w:pPr>
        <w:pStyle w:val="2"/>
        <w:ind w:firstLine="616" w:firstLineChars="200"/>
        <w:rPr>
          <w:rFonts w:hint="eastAsia"/>
          <w:lang w:val="en-US" w:eastAsia="zh-CN"/>
        </w:rPr>
      </w:pPr>
      <w:r>
        <w:rPr>
          <w:rFonts w:hint="eastAsia" w:ascii="楷体_GB2312" w:hAnsi="楷体_GB2312" w:eastAsia="楷体_GB2312" w:cs="楷体_GB2312"/>
          <w:b w:val="0"/>
          <w:bCs/>
          <w:color w:val="000000" w:themeColor="text1"/>
          <w:sz w:val="32"/>
          <w:szCs w:val="32"/>
          <w:highlight w:val="none"/>
          <w:lang w:val="en-US" w:eastAsia="zh-CN"/>
        </w:rPr>
        <w:t>（五）加大人才引进力度，提升人才服务水平</w:t>
      </w:r>
    </w:p>
    <w:p w14:paraId="64151CC1">
      <w:pPr>
        <w:numPr>
          <w:ilvl w:val="0"/>
          <w:numId w:val="0"/>
        </w:numPr>
        <w:ind w:firstLine="616"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lang w:val="en-US" w:eastAsia="zh-CN"/>
        </w:rPr>
        <w:t xml:space="preserve"> </w:t>
      </w:r>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b/>
          <w:bCs/>
          <w:sz w:val="32"/>
          <w:szCs w:val="32"/>
          <w:lang w:val="en-US" w:eastAsia="zh-CN"/>
        </w:rPr>
        <w:t>做好事业单位公开招聘工作。</w:t>
      </w:r>
      <w:r>
        <w:rPr>
          <w:rFonts w:hint="eastAsia" w:ascii="仿宋_GB2312" w:hAnsi="仿宋_GB2312" w:eastAsia="仿宋_GB2312" w:cs="仿宋_GB2312"/>
          <w:b w:val="0"/>
          <w:bCs w:val="0"/>
          <w:sz w:val="32"/>
          <w:szCs w:val="32"/>
          <w:lang w:val="en-US" w:eastAsia="zh-CN"/>
        </w:rPr>
        <w:t>2024年，参加省事业单位2024年集中公开招聘73名高校毕业生，县自主组织公开招聘卫生专业技术人员20名，公开招聘教师189名。</w:t>
      </w:r>
      <w:r>
        <w:rPr>
          <w:rFonts w:hint="eastAsia" w:ascii="仿宋_GB2312" w:hAnsi="仿宋_GB2312" w:eastAsia="仿宋_GB2312" w:cs="仿宋_GB2312"/>
          <w:b/>
          <w:bCs/>
          <w:sz w:val="32"/>
          <w:szCs w:val="32"/>
          <w:lang w:val="en-US" w:eastAsia="zh-CN"/>
        </w:rPr>
        <w:t>二是加强高层次人才引进。</w:t>
      </w:r>
      <w:r>
        <w:rPr>
          <w:rFonts w:hint="eastAsia" w:ascii="仿宋_GB2312" w:hAnsi="仿宋_GB2312" w:eastAsia="仿宋_GB2312" w:cs="仿宋_GB2312"/>
          <w:b w:val="0"/>
          <w:bCs w:val="0"/>
          <w:sz w:val="32"/>
          <w:szCs w:val="32"/>
          <w:lang w:val="en-US" w:eastAsia="zh-CN"/>
        </w:rPr>
        <w:t>结合我县事业单位高层次人才需求，由县委组织部统筹，按人才引进有关政策规定，制定符合我县实际的引才方案并组织实施。4月份赴南方人才市场、贵州3所大学开展招才引智工作，已聘用9名高层次人才；8月赴南方人才市场开展招才引智工作，已聘用13名高层次人才。</w:t>
      </w:r>
      <w:r>
        <w:rPr>
          <w:rFonts w:hint="eastAsia" w:ascii="仿宋_GB2312" w:hAnsi="仿宋_GB2312" w:eastAsia="仿宋_GB2312" w:cs="仿宋_GB2312"/>
          <w:b/>
          <w:bCs/>
          <w:sz w:val="32"/>
          <w:szCs w:val="32"/>
          <w:lang w:val="en-US" w:eastAsia="zh-CN"/>
        </w:rPr>
        <w:t>三是扎实推进“三支一扶”计划。</w:t>
      </w:r>
      <w:r>
        <w:rPr>
          <w:rFonts w:hint="eastAsia" w:ascii="仿宋_GB2312" w:hAnsi="仿宋_GB2312" w:eastAsia="仿宋_GB2312" w:cs="仿宋_GB2312"/>
          <w:b w:val="0"/>
          <w:bCs w:val="0"/>
          <w:sz w:val="32"/>
          <w:szCs w:val="32"/>
          <w:lang w:val="en-US" w:eastAsia="zh-CN"/>
        </w:rPr>
        <w:t>精准落实招募计划安排，加强“三支一扶”人员选拔招募和服务管理，积极引导高校毕业向基层发展。根据省2024年高校毕业生“三支一扶”岗位征集工作计划，我县已完成招募24名高校毕业生到基层从事“三支一扶”工作。</w:t>
      </w:r>
      <w:r>
        <w:rPr>
          <w:rFonts w:hint="eastAsia" w:ascii="仿宋_GB2312" w:hAnsi="仿宋_GB2312" w:eastAsia="仿宋_GB2312" w:cs="仿宋_GB2312"/>
          <w:b/>
          <w:bCs/>
          <w:sz w:val="32"/>
          <w:szCs w:val="32"/>
          <w:lang w:val="en-US" w:eastAsia="zh-CN"/>
        </w:rPr>
        <w:t>四是做好人才服务保障，落实人才待遇。</w:t>
      </w:r>
      <w:r>
        <w:rPr>
          <w:rFonts w:hint="eastAsia" w:ascii="仿宋_GB2312" w:hAnsi="仿宋_GB2312" w:eastAsia="仿宋_GB2312" w:cs="仿宋_GB2312"/>
          <w:b w:val="0"/>
          <w:bCs w:val="0"/>
          <w:sz w:val="32"/>
          <w:szCs w:val="32"/>
          <w:lang w:val="en-US" w:eastAsia="zh-CN"/>
        </w:rPr>
        <w:t>2024年受理我县企事业单位高层次人才申请市级认定18人；落实我县6名企事业单位七类以上高层次人才在市内乘坐动车、火车时享受专用候车区服务以及免费停车，在市政道路共享车位停车免收停车费的待遇。</w:t>
      </w:r>
      <w:r>
        <w:rPr>
          <w:rFonts w:hint="eastAsia" w:ascii="仿宋_GB2312" w:hAnsi="仿宋_GB2312" w:eastAsia="仿宋_GB2312" w:cs="仿宋_GB2312"/>
          <w:b/>
          <w:bCs/>
          <w:sz w:val="32"/>
          <w:szCs w:val="32"/>
          <w:lang w:val="en-US" w:eastAsia="zh-CN"/>
        </w:rPr>
        <w:t>五是大力推进人才驿站工作。</w:t>
      </w:r>
      <w:r>
        <w:rPr>
          <w:rFonts w:hint="eastAsia" w:ascii="仿宋_GB2312" w:hAnsi="仿宋_GB2312" w:eastAsia="仿宋_GB2312" w:cs="仿宋_GB2312"/>
          <w:b w:val="0"/>
          <w:bCs w:val="0"/>
          <w:sz w:val="32"/>
          <w:szCs w:val="32"/>
          <w:lang w:val="en-US" w:eastAsia="zh-CN"/>
        </w:rPr>
        <w:t>为深入学习贯彻党的二十大精神，贯彻落实习近平总书记关于青年工作的重要思想，进一步深入实施“百县千镇万村高质量发展工程”，有效推动助力乡村振兴和优化营商环境，本年度我县各级人才驿站共开展活动107场次，参与人次5288人。</w:t>
      </w:r>
      <w:r>
        <w:rPr>
          <w:rFonts w:hint="eastAsia" w:ascii="仿宋_GB2312" w:hAnsi="仿宋_GB2312" w:eastAsia="仿宋_GB2312" w:cs="仿宋_GB2312"/>
          <w:b/>
          <w:bCs/>
          <w:sz w:val="32"/>
          <w:szCs w:val="32"/>
          <w:lang w:val="en-US" w:eastAsia="zh-CN"/>
        </w:rPr>
        <w:t>六是落实事业单位管理岗位职级晋升工作。</w:t>
      </w:r>
      <w:r>
        <w:rPr>
          <w:rFonts w:hint="eastAsia" w:ascii="仿宋_GB2312" w:hAnsi="仿宋_GB2312" w:eastAsia="仿宋_GB2312" w:cs="仿宋_GB2312"/>
          <w:b w:val="0"/>
          <w:bCs w:val="0"/>
          <w:sz w:val="32"/>
          <w:szCs w:val="32"/>
          <w:lang w:val="en-US" w:eastAsia="zh-CN"/>
        </w:rPr>
        <w:t>为贯彻落实《中共中央办公厅 国务院办公厅印发〈关于县以下事业单位建立管理岗位职员等级晋升制度的意见〉的通知》（中办发〔2021〕29号）的精神以及中央关于职员等级晋升制度有关工作的部署要求，根据工作计划及用人单位申报，审批9名事业单位工作人员晋升九级职员。</w:t>
      </w:r>
      <w:r>
        <w:rPr>
          <w:rFonts w:hint="eastAsia" w:ascii="仿宋_GB2312" w:hAnsi="仿宋_GB2312" w:eastAsia="仿宋_GB2312" w:cs="仿宋_GB2312"/>
          <w:b/>
          <w:bCs/>
          <w:sz w:val="32"/>
          <w:szCs w:val="32"/>
          <w:lang w:val="en-US" w:eastAsia="zh-CN"/>
        </w:rPr>
        <w:t>七是做好订单定向生入职手续工作。</w:t>
      </w:r>
      <w:r>
        <w:rPr>
          <w:rFonts w:hint="eastAsia" w:ascii="仿宋_GB2312" w:hAnsi="仿宋_GB2312" w:eastAsia="仿宋_GB2312" w:cs="仿宋_GB2312"/>
          <w:b w:val="0"/>
          <w:bCs w:val="0"/>
          <w:sz w:val="32"/>
          <w:szCs w:val="32"/>
          <w:lang w:val="en-US" w:eastAsia="zh-CN"/>
        </w:rPr>
        <w:t>根据《阳江市卫生健康局办公室关于下发2024年阳江市订单定向医学毕业生信息的通知》（阳卫办函〔2024〕186号）的文件要求，为叶其彬等12名订单定向毕业生安置就业工作。</w:t>
      </w:r>
      <w:r>
        <w:rPr>
          <w:rFonts w:hint="eastAsia" w:ascii="仿宋_GB2312" w:hAnsi="仿宋_GB2312" w:eastAsia="仿宋_GB2312" w:cs="仿宋_GB2312"/>
          <w:b/>
          <w:bCs/>
          <w:sz w:val="32"/>
          <w:szCs w:val="32"/>
          <w:lang w:val="en-US" w:eastAsia="zh-CN"/>
        </w:rPr>
        <w:t>八是做好政策就业安置工作。</w:t>
      </w:r>
      <w:r>
        <w:rPr>
          <w:rFonts w:hint="eastAsia" w:ascii="仿宋_GB2312" w:hAnsi="仿宋_GB2312" w:eastAsia="仿宋_GB2312" w:cs="仿宋_GB2312"/>
          <w:b w:val="0"/>
          <w:bCs w:val="0"/>
          <w:sz w:val="32"/>
          <w:szCs w:val="32"/>
          <w:lang w:val="en-US" w:eastAsia="zh-CN"/>
        </w:rPr>
        <w:t>2024年，为我县符合政策安排工作条件的12名退役士兵安置就业工作。</w:t>
      </w:r>
      <w:r>
        <w:rPr>
          <w:rFonts w:hint="eastAsia" w:ascii="仿宋_GB2312" w:hAnsi="仿宋_GB2312" w:eastAsia="仿宋_GB2312" w:cs="仿宋_GB2312"/>
          <w:b/>
          <w:bCs/>
          <w:sz w:val="32"/>
          <w:szCs w:val="32"/>
          <w:lang w:val="en-US" w:eastAsia="zh-CN"/>
        </w:rPr>
        <w:t>九是做好县合同制职员公开招聘工作。</w:t>
      </w:r>
      <w:r>
        <w:rPr>
          <w:rFonts w:hint="eastAsia" w:ascii="仿宋_GB2312" w:hAnsi="仿宋_GB2312" w:eastAsia="仿宋_GB2312" w:cs="仿宋_GB2312"/>
          <w:b w:val="0"/>
          <w:bCs w:val="0"/>
          <w:sz w:val="32"/>
          <w:szCs w:val="32"/>
          <w:lang w:val="en-US" w:eastAsia="zh-CN"/>
        </w:rPr>
        <w:t>根据工作计划，经县政府同意，聘用14名合同制职员。</w:t>
      </w:r>
    </w:p>
    <w:p w14:paraId="1DA42C41">
      <w:pPr>
        <w:ind w:firstLine="520"/>
        <w:rPr>
          <w:rFonts w:ascii="仿宋_GB2312" w:hAnsi="仿宋_GB2312" w:cs="仿宋_GB2312"/>
          <w:bCs/>
          <w:sz w:val="26"/>
          <w:szCs w:val="26"/>
        </w:rPr>
      </w:pPr>
      <w:r>
        <w:rPr>
          <w:rFonts w:hint="eastAsia"/>
          <w:b/>
        </w:rPr>
        <w:t>（三）</w:t>
      </w:r>
      <w:bookmarkEnd w:id="7"/>
      <w:bookmarkEnd w:id="8"/>
      <w:r>
        <w:rPr>
          <w:rFonts w:hint="eastAsia"/>
          <w:b/>
        </w:rPr>
        <w:t>部门整体支出情况。</w:t>
      </w:r>
    </w:p>
    <w:p w14:paraId="097D74C5">
      <w:pPr>
        <w:ind w:firstLine="520"/>
        <w:rPr>
          <w:rFonts w:hint="eastAsia" w:ascii="仿宋_GB2312" w:hAnsi="仿宋_GB2312" w:eastAsia="仿宋_GB2312" w:cs="仿宋_GB2312"/>
          <w:b w:val="0"/>
          <w:bCs/>
        </w:rPr>
      </w:pPr>
      <w:r>
        <w:rPr>
          <w:rFonts w:hint="eastAsia" w:ascii="仿宋_GB2312" w:hAnsi="仿宋_GB2312" w:eastAsia="仿宋_GB2312" w:cs="仿宋_GB2312"/>
          <w:b w:val="0"/>
          <w:bCs/>
        </w:rPr>
        <w:t>1. 年度预算及执行总体情况</w:t>
      </w:r>
    </w:p>
    <w:p w14:paraId="7845ADD4">
      <w:pPr>
        <w:ind w:firstLine="520"/>
        <w:rPr>
          <w:rFonts w:hint="eastAsia" w:ascii="仿宋_GB2312" w:hAnsi="仿宋_GB2312" w:eastAsia="仿宋_GB2312" w:cs="仿宋_GB2312"/>
          <w:b w:val="0"/>
          <w:bCs/>
        </w:rPr>
      </w:pPr>
      <w:r>
        <w:rPr>
          <w:rFonts w:hint="eastAsia" w:ascii="仿宋_GB2312" w:hAnsi="仿宋_GB2312" w:eastAsia="仿宋_GB2312" w:cs="仿宋_GB2312"/>
          <w:b w:val="0"/>
          <w:bCs/>
        </w:rPr>
        <w:t>2024年度部门总收入8,530.10万元，其中本年收入4,633.02万元（一般公共预算财政拨款收入2,459.20万元，政府性基金预算财政拨款收入2,018.63万元，其他收入155.19万元）。总支出8,530.10万元，其中本年支出3,427.52万元（基本支出1,096.11万元，项目支出2,331.40万元）。</w:t>
      </w:r>
    </w:p>
    <w:p w14:paraId="59919ADC">
      <w:pPr>
        <w:ind w:firstLine="616" w:firstLineChars="200"/>
        <w:rPr>
          <w:rFonts w:hint="eastAsia" w:ascii="仿宋_GB2312" w:hAnsi="仿宋_GB2312" w:eastAsia="仿宋_GB2312" w:cs="仿宋_GB2312"/>
          <w:b w:val="0"/>
          <w:bCs/>
        </w:rPr>
      </w:pPr>
      <w:r>
        <w:rPr>
          <w:rFonts w:hint="eastAsia" w:ascii="仿宋_GB2312" w:hAnsi="仿宋_GB2312" w:cs="仿宋_GB2312"/>
          <w:b w:val="0"/>
          <w:bCs/>
          <w:lang w:val="en-US" w:eastAsia="zh-CN"/>
        </w:rPr>
        <w:t>2.</w:t>
      </w:r>
      <w:r>
        <w:rPr>
          <w:rFonts w:hint="eastAsia" w:ascii="仿宋_GB2312" w:hAnsi="仿宋_GB2312" w:eastAsia="仿宋_GB2312" w:cs="仿宋_GB2312"/>
          <w:b w:val="0"/>
          <w:bCs/>
        </w:rPr>
        <w:t>“三公”经费使用分析</w:t>
      </w:r>
    </w:p>
    <w:p w14:paraId="0DC97C06">
      <w:pPr>
        <w:ind w:firstLine="616" w:firstLineChars="200"/>
        <w:rPr>
          <w:rFonts w:hint="eastAsia" w:ascii="仿宋_GB2312" w:hAnsi="仿宋_GB2312" w:eastAsia="仿宋_GB2312" w:cs="仿宋_GB2312"/>
          <w:b w:val="0"/>
          <w:bCs/>
        </w:rPr>
      </w:pPr>
      <w:r>
        <w:rPr>
          <w:rFonts w:hint="eastAsia" w:ascii="仿宋_GB2312" w:hAnsi="仿宋_GB2312" w:eastAsia="仿宋_GB2312" w:cs="仿宋_GB2312"/>
          <w:b w:val="0"/>
          <w:bCs/>
        </w:rPr>
        <w:t>2024年“三公”经费预算安排6.30万元，实际支出7.10万元，执行率为112.70%。具体构成：公务用车运行维护费预算4.80万元，实际支出5.48万元，超支14.17%，主要因车辆老化导致维修成本增加；公务接待费预算1.50万元，实际支出1.62万元，超支8.00%，原因为上级部门调研及跨区域业务交流频次增加；因公出国（境）费用为零，无相关支出。尽管实际支出略超预算，但单位严格执行公务活动审批制度，支出事项均属必要工作范围，总体控制在合理区间。</w:t>
      </w:r>
    </w:p>
    <w:p w14:paraId="6CBBEC28">
      <w:pPr>
        <w:ind w:firstLine="520"/>
        <w:rPr>
          <w:rFonts w:hint="eastAsia" w:ascii="仿宋_GB2312" w:hAnsi="仿宋_GB2312" w:eastAsia="仿宋_GB2312" w:cs="仿宋_GB2312"/>
          <w:b w:val="0"/>
          <w:bCs/>
        </w:rPr>
      </w:pPr>
      <w:r>
        <w:rPr>
          <w:rFonts w:hint="eastAsia" w:ascii="仿宋_GB2312" w:hAnsi="仿宋_GB2312" w:cs="仿宋_GB2312"/>
          <w:b w:val="0"/>
          <w:bCs/>
          <w:lang w:val="en-US" w:eastAsia="zh-CN"/>
        </w:rPr>
        <w:t>3.</w:t>
      </w:r>
      <w:r>
        <w:rPr>
          <w:rFonts w:hint="eastAsia" w:ascii="仿宋_GB2312" w:hAnsi="仿宋_GB2312" w:eastAsia="仿宋_GB2312" w:cs="仿宋_GB2312"/>
          <w:b w:val="0"/>
          <w:bCs/>
        </w:rPr>
        <w:t>日常公用经费使用分析</w:t>
      </w:r>
    </w:p>
    <w:p w14:paraId="0427C440">
      <w:pPr>
        <w:ind w:firstLine="520"/>
        <w:rPr>
          <w:rFonts w:hint="eastAsia" w:ascii="仿宋_GB2312" w:hAnsi="仿宋_GB2312" w:eastAsia="仿宋_GB2312" w:cs="仿宋_GB2312"/>
          <w:b w:val="0"/>
          <w:bCs/>
        </w:rPr>
      </w:pPr>
      <w:r>
        <w:rPr>
          <w:rFonts w:hint="eastAsia" w:ascii="仿宋_GB2312" w:hAnsi="仿宋_GB2312" w:eastAsia="仿宋_GB2312" w:cs="仿宋_GB2312"/>
          <w:b w:val="0"/>
          <w:bCs/>
        </w:rPr>
        <w:t>2024年日常公用经费年初预算79.72万元，实际支出78.27万元，执行率98.18%，略有结余。支出结构如下：办公费、水电费、邮电费等基础运维支出合计21.58万元，占27.57%</w:t>
      </w:r>
      <w:r>
        <w:rPr>
          <w:rFonts w:hint="eastAsia" w:ascii="仿宋_GB2312" w:hAnsi="仿宋_GB2312" w:cs="仿宋_GB2312"/>
          <w:b w:val="0"/>
          <w:bCs/>
          <w:lang w:eastAsia="zh-CN"/>
        </w:rPr>
        <w:t>；</w:t>
      </w:r>
      <w:r>
        <w:rPr>
          <w:rFonts w:hint="eastAsia" w:ascii="仿宋_GB2312" w:hAnsi="仿宋_GB2312" w:eastAsia="仿宋_GB2312" w:cs="仿宋_GB2312"/>
          <w:b w:val="0"/>
          <w:bCs/>
        </w:rPr>
        <w:t>劳务费、委托业务费等购买服务支出28.82万元，占36.82%；公务用车运行维护费、差旅费等公务活动支出15.18万元，占19.39%</w:t>
      </w:r>
      <w:r>
        <w:rPr>
          <w:rFonts w:hint="eastAsia" w:ascii="仿宋_GB2312" w:hAnsi="仿宋_GB2312" w:cs="仿宋_GB2312"/>
          <w:b w:val="0"/>
          <w:bCs/>
          <w:lang w:eastAsia="zh-CN"/>
        </w:rPr>
        <w:t>；</w:t>
      </w:r>
      <w:r>
        <w:rPr>
          <w:rFonts w:hint="eastAsia" w:ascii="仿宋_GB2312" w:hAnsi="仿宋_GB2312" w:eastAsia="仿宋_GB2312" w:cs="仿宋_GB2312"/>
          <w:b w:val="0"/>
          <w:bCs/>
        </w:rPr>
        <w:t>工会经费、其他交通费用等职工福利支出12.69万元，占16.22%。经费使用均按定额标准执行，无超范围、超标准支出情况，有效保障了部门正常运转。</w:t>
      </w:r>
    </w:p>
    <w:p w14:paraId="709A475F">
      <w:pPr>
        <w:ind w:firstLine="520"/>
        <w:rPr>
          <w:b/>
        </w:rPr>
      </w:pPr>
      <w:r>
        <w:rPr>
          <w:rFonts w:hint="eastAsia"/>
          <w:b/>
        </w:rPr>
        <w:t>（四）部门整体支出绩效目标。</w:t>
      </w:r>
    </w:p>
    <w:p w14:paraId="2761114C">
      <w:pPr>
        <w:spacing w:line="600" w:lineRule="exact"/>
        <w:ind w:firstLine="616" w:firstLineChars="200"/>
        <w:rPr>
          <w:b/>
        </w:rPr>
      </w:pPr>
      <w:r>
        <w:rPr>
          <w:rFonts w:hint="eastAsia"/>
          <w:b w:val="0"/>
          <w:bCs/>
        </w:rPr>
        <w:t>2024年度部门整体绩效目标围绕职能履行和重点工作设定，具体包括产出目标：城镇新增就业</w:t>
      </w:r>
      <w:r>
        <w:rPr>
          <w:rFonts w:hint="eastAsia"/>
          <w:b w:val="0"/>
          <w:bCs/>
          <w:lang w:val="en-US" w:eastAsia="zh-CN"/>
        </w:rPr>
        <w:t>&gt;</w:t>
      </w:r>
      <w:r>
        <w:rPr>
          <w:rFonts w:hint="eastAsia"/>
          <w:b w:val="0"/>
          <w:bCs/>
        </w:rPr>
        <w:t>2000人，欠薪案件结案率&gt;90%，农村劳动力转移就业服务覆盖率≥90%；效果目标：城镇登记失业率≤3%，服务对象满意度≥90%，促进就业增收和社会稳定；经济性目标：严格控制“三公”经费和公用支出，提升资金使用效益。</w:t>
      </w:r>
    </w:p>
    <w:p w14:paraId="7E3CEF6A">
      <w:pPr>
        <w:ind w:firstLine="616" w:firstLineChars="200"/>
        <w:rPr>
          <w:rFonts w:ascii="方正小标宋简体" w:eastAsia="方正小标宋简体"/>
        </w:rPr>
      </w:pPr>
      <w:bookmarkStart w:id="9" w:name="_Toc4514_WPSOffice_Level1"/>
      <w:bookmarkStart w:id="10" w:name="_Toc22180"/>
      <w:r>
        <w:rPr>
          <w:rFonts w:hint="eastAsia" w:ascii="方正小标宋简体" w:eastAsia="方正小标宋简体"/>
        </w:rPr>
        <w:t>二、绩效自评结论</w:t>
      </w:r>
      <w:bookmarkEnd w:id="9"/>
      <w:bookmarkEnd w:id="10"/>
    </w:p>
    <w:p w14:paraId="13BFB9B8">
      <w:pPr>
        <w:ind w:firstLine="616" w:firstLineChars="200"/>
        <w:rPr>
          <w:rFonts w:hint="eastAsia" w:ascii="仿宋_GB2312" w:hAnsi="华文仿宋" w:cs="仿宋_GB2312"/>
          <w:szCs w:val="32"/>
        </w:rPr>
      </w:pPr>
      <w:bookmarkStart w:id="11" w:name="_Toc2072"/>
      <w:bookmarkStart w:id="12" w:name="_Toc2998_WPSOffice_Level1"/>
      <w:r>
        <w:rPr>
          <w:rFonts w:hint="eastAsia" w:ascii="仿宋_GB2312" w:hAnsi="华文仿宋" w:cs="仿宋_GB2312"/>
          <w:szCs w:val="32"/>
        </w:rPr>
        <w:t>2024年度，阳西县人力资源和社会保障局整体支出绩效自评得分</w:t>
      </w:r>
      <w:r>
        <w:rPr>
          <w:rFonts w:hint="eastAsia" w:ascii="仿宋_GB2312" w:hAnsi="华文仿宋" w:cs="仿宋_GB2312"/>
          <w:szCs w:val="32"/>
          <w:lang w:val="en-US" w:eastAsia="zh-CN"/>
        </w:rPr>
        <w:t>100</w:t>
      </w:r>
      <w:r>
        <w:rPr>
          <w:rFonts w:hint="eastAsia" w:ascii="仿宋_GB2312" w:hAnsi="华文仿宋" w:cs="仿宋_GB2312"/>
          <w:szCs w:val="32"/>
        </w:rPr>
        <w:t>分（满分100分），等级为“优”。部门履职经济性、效率性、效果性和公平性总体良好，预算编制规范，执行有效，重点任务完成率达100%，资金使用效益显著，公众满意度高。具体自评得分如下：</w:t>
      </w:r>
    </w:p>
    <w:p w14:paraId="20C9371A">
      <w:pPr>
        <w:ind w:firstLine="616" w:firstLineChars="200"/>
        <w:rPr>
          <w:rFonts w:hint="eastAsia" w:ascii="仿宋_GB2312" w:hAnsi="华文仿宋" w:cs="仿宋_GB2312"/>
          <w:szCs w:val="32"/>
        </w:rPr>
      </w:pPr>
      <w:r>
        <w:rPr>
          <w:rFonts w:hint="eastAsia" w:ascii="仿宋_GB2312" w:hAnsi="华文仿宋" w:cs="仿宋_GB2312"/>
          <w:szCs w:val="32"/>
        </w:rPr>
        <w:t>预算编制情况：20分（满分20分）；</w:t>
      </w:r>
    </w:p>
    <w:p w14:paraId="36E6593C">
      <w:pPr>
        <w:ind w:firstLine="616" w:firstLineChars="200"/>
        <w:rPr>
          <w:rFonts w:hint="eastAsia" w:ascii="仿宋_GB2312" w:hAnsi="华文仿宋" w:cs="仿宋_GB2312"/>
          <w:szCs w:val="32"/>
        </w:rPr>
      </w:pPr>
      <w:r>
        <w:rPr>
          <w:rFonts w:hint="eastAsia" w:ascii="仿宋_GB2312" w:hAnsi="华文仿宋" w:cs="仿宋_GB2312"/>
          <w:szCs w:val="32"/>
        </w:rPr>
        <w:t>预算执行情况：40分（满分40分）；</w:t>
      </w:r>
    </w:p>
    <w:p w14:paraId="26211529">
      <w:pPr>
        <w:ind w:firstLine="616" w:firstLineChars="200"/>
        <w:rPr>
          <w:rFonts w:hint="eastAsia" w:ascii="仿宋_GB2312" w:hAnsi="华文仿宋" w:cs="仿宋_GB2312"/>
          <w:szCs w:val="32"/>
        </w:rPr>
      </w:pPr>
      <w:r>
        <w:rPr>
          <w:rFonts w:hint="eastAsia" w:ascii="仿宋_GB2312" w:hAnsi="华文仿宋" w:cs="仿宋_GB2312"/>
          <w:szCs w:val="32"/>
        </w:rPr>
        <w:t>资金使用效益：</w:t>
      </w:r>
      <w:r>
        <w:rPr>
          <w:rFonts w:hint="eastAsia" w:ascii="仿宋_GB2312" w:hAnsi="华文仿宋" w:cs="仿宋_GB2312"/>
          <w:szCs w:val="32"/>
          <w:lang w:val="en-US" w:eastAsia="zh-CN"/>
        </w:rPr>
        <w:t>40</w:t>
      </w:r>
      <w:r>
        <w:rPr>
          <w:rFonts w:hint="eastAsia" w:ascii="仿宋_GB2312" w:hAnsi="华文仿宋" w:cs="仿宋_GB2312"/>
          <w:szCs w:val="32"/>
        </w:rPr>
        <w:t>分（满分40分）。</w:t>
      </w:r>
    </w:p>
    <w:p w14:paraId="58EE5B7A">
      <w:pPr>
        <w:ind w:firstLine="616" w:firstLineChars="200"/>
        <w:rPr>
          <w:rFonts w:ascii="方正小标宋简体" w:eastAsia="方正小标宋简体"/>
        </w:rPr>
      </w:pPr>
      <w:r>
        <w:rPr>
          <w:rFonts w:hint="eastAsia" w:ascii="方正小标宋简体" w:eastAsia="方正小标宋简体"/>
        </w:rPr>
        <w:t>三、绩效自评分析</w:t>
      </w:r>
      <w:bookmarkEnd w:id="11"/>
      <w:bookmarkEnd w:id="12"/>
    </w:p>
    <w:p w14:paraId="522033F8">
      <w:pPr>
        <w:ind w:firstLine="616" w:firstLineChars="200"/>
        <w:rPr>
          <w:b/>
        </w:rPr>
      </w:pPr>
      <w:bookmarkStart w:id="13" w:name="_Toc22677"/>
      <w:bookmarkStart w:id="14" w:name="_Toc26765_WPSOffice_Level3"/>
      <w:bookmarkStart w:id="15" w:name="_Toc19924"/>
      <w:bookmarkStart w:id="16" w:name="_Toc27392_WPSOffice_Level2"/>
      <w:r>
        <w:rPr>
          <w:rFonts w:hint="eastAsia"/>
          <w:b/>
        </w:rPr>
        <w:t>（一）预算编制情况</w:t>
      </w:r>
      <w:bookmarkEnd w:id="13"/>
      <w:bookmarkEnd w:id="14"/>
      <w:bookmarkEnd w:id="15"/>
      <w:bookmarkEnd w:id="16"/>
      <w:r>
        <w:rPr>
          <w:rFonts w:hint="eastAsia"/>
          <w:b/>
        </w:rPr>
        <w:t>。</w:t>
      </w:r>
    </w:p>
    <w:p w14:paraId="27F3478F">
      <w:pPr>
        <w:ind w:firstLine="616" w:firstLineChars="200"/>
        <w:rPr>
          <w:rFonts w:hint="eastAsia" w:ascii="仿宋_GB2312" w:hAnsi="仿宋_GB2312" w:cs="仿宋_GB2312"/>
          <w:szCs w:val="32"/>
          <w:lang w:bidi="ar"/>
        </w:rPr>
      </w:pPr>
      <w:bookmarkStart w:id="17" w:name="_Toc5828_WPSOffice_Level3"/>
      <w:bookmarkStart w:id="18" w:name="_Toc32482"/>
      <w:bookmarkStart w:id="19" w:name="_Toc13662"/>
      <w:bookmarkStart w:id="20" w:name="_Toc19200_WPSOffice_Level2"/>
      <w:r>
        <w:rPr>
          <w:rFonts w:hint="eastAsia" w:ascii="仿宋_GB2312" w:hAnsi="仿宋_GB2312" w:cs="仿宋_GB2312"/>
          <w:szCs w:val="32"/>
          <w:lang w:bidi="ar"/>
        </w:rPr>
        <w:t>1. 预算编制合理性及规范性：预算编制符合部门职责和县委县政府政策要求，资金分配合理，项目细化程度高，得分满分。</w:t>
      </w:r>
    </w:p>
    <w:p w14:paraId="3B53F655">
      <w:pPr>
        <w:ind w:firstLine="616" w:firstLineChars="200"/>
        <w:rPr>
          <w:rFonts w:hint="eastAsia" w:ascii="仿宋_GB2312" w:hAnsi="仿宋_GB2312" w:cs="仿宋_GB2312"/>
          <w:szCs w:val="32"/>
          <w:lang w:bidi="ar"/>
        </w:rPr>
      </w:pPr>
      <w:r>
        <w:rPr>
          <w:rFonts w:hint="eastAsia" w:ascii="仿宋_GB2312" w:hAnsi="仿宋_GB2312" w:cs="仿宋_GB2312"/>
          <w:szCs w:val="32"/>
          <w:lang w:bidi="ar"/>
        </w:rPr>
        <w:t>2. 目标设置情况：绩效目标与年度工作任务匹配，指标明确可量化，覆盖全面，得分满分。</w:t>
      </w:r>
    </w:p>
    <w:p w14:paraId="0FB6C49E">
      <w:pPr>
        <w:ind w:firstLine="616" w:firstLineChars="200"/>
        <w:rPr>
          <w:b/>
        </w:rPr>
      </w:pPr>
      <w:r>
        <w:rPr>
          <w:rFonts w:hint="eastAsia"/>
          <w:b/>
        </w:rPr>
        <w:t>（二）预算执行情况</w:t>
      </w:r>
      <w:bookmarkEnd w:id="17"/>
      <w:bookmarkEnd w:id="18"/>
      <w:bookmarkEnd w:id="19"/>
      <w:bookmarkEnd w:id="20"/>
      <w:r>
        <w:rPr>
          <w:rFonts w:hint="eastAsia"/>
          <w:b/>
        </w:rPr>
        <w:t>。</w:t>
      </w:r>
    </w:p>
    <w:p w14:paraId="19B0EEE5">
      <w:pPr>
        <w:ind w:firstLine="616" w:firstLineChars="200"/>
        <w:rPr>
          <w:rFonts w:hint="eastAsia" w:ascii="仿宋_GB2312" w:hAnsi="仿宋_GB2312" w:cs="仿宋_GB2312"/>
          <w:szCs w:val="32"/>
          <w:lang w:bidi="ar"/>
        </w:rPr>
      </w:pPr>
      <w:bookmarkStart w:id="21" w:name="_Toc20443_WPSOffice_Level3"/>
      <w:bookmarkStart w:id="22" w:name="_Toc15901_WPSOffice_Level2"/>
      <w:bookmarkStart w:id="23" w:name="_Toc26860"/>
      <w:bookmarkStart w:id="24" w:name="_Toc14900"/>
      <w:r>
        <w:rPr>
          <w:rFonts w:hint="eastAsia" w:ascii="仿宋_GB2312" w:hAnsi="仿宋_GB2312" w:cs="仿宋_GB2312"/>
          <w:szCs w:val="32"/>
          <w:lang w:bidi="ar"/>
        </w:rPr>
        <w:t>1. 制度管理：部门制定并严格执行财务、资产、项目等管理制度，内控机制健全，得分满分。</w:t>
      </w:r>
    </w:p>
    <w:p w14:paraId="48DBE332">
      <w:pPr>
        <w:ind w:firstLine="616" w:firstLineChars="200"/>
        <w:rPr>
          <w:rFonts w:hint="eastAsia" w:ascii="仿宋_GB2312" w:hAnsi="仿宋_GB2312" w:eastAsia="仿宋_GB2312" w:cs="仿宋_GB2312"/>
          <w:szCs w:val="32"/>
          <w:lang w:eastAsia="zh-CN" w:bidi="ar"/>
        </w:rPr>
      </w:pPr>
      <w:r>
        <w:rPr>
          <w:rFonts w:hint="eastAsia" w:ascii="仿宋_GB2312" w:hAnsi="仿宋_GB2312" w:cs="仿宋_GB2312"/>
          <w:szCs w:val="32"/>
          <w:lang w:bidi="ar"/>
        </w:rPr>
        <w:t>2. 资金管理：资金下达及时，合规性得分满分；部门预算资金支出</w:t>
      </w:r>
      <w:r>
        <w:rPr>
          <w:rFonts w:hint="eastAsia" w:ascii="仿宋_GB2312" w:hAnsi="仿宋_GB2312" w:cs="仿宋_GB2312"/>
          <w:szCs w:val="32"/>
          <w:lang w:eastAsia="zh-CN" w:bidi="ar"/>
        </w:rPr>
        <w:t>按时，</w:t>
      </w:r>
      <w:r>
        <w:rPr>
          <w:rFonts w:hint="eastAsia" w:ascii="仿宋_GB2312" w:hAnsi="仿宋_GB2312" w:cs="仿宋_GB2312"/>
          <w:szCs w:val="32"/>
          <w:lang w:bidi="ar"/>
        </w:rPr>
        <w:t>政府采购执行</w:t>
      </w:r>
      <w:r>
        <w:rPr>
          <w:rFonts w:hint="eastAsia" w:ascii="仿宋_GB2312" w:hAnsi="仿宋_GB2312" w:cs="仿宋_GB2312"/>
          <w:szCs w:val="32"/>
          <w:lang w:eastAsia="zh-CN" w:bidi="ar"/>
        </w:rPr>
        <w:t>规范，</w:t>
      </w:r>
      <w:r>
        <w:rPr>
          <w:rFonts w:hint="eastAsia" w:ascii="仿宋_GB2312" w:hAnsi="仿宋_GB2312" w:cs="仿宋_GB2312"/>
          <w:szCs w:val="32"/>
          <w:lang w:bidi="ar"/>
        </w:rPr>
        <w:t>财务合规性和预决算信息公开性符合要求</w:t>
      </w:r>
      <w:r>
        <w:rPr>
          <w:rFonts w:hint="eastAsia" w:ascii="仿宋_GB2312" w:hAnsi="仿宋_GB2312" w:cs="仿宋_GB2312"/>
          <w:szCs w:val="32"/>
          <w:lang w:eastAsia="zh-CN" w:bidi="ar"/>
        </w:rPr>
        <w:t>。</w:t>
      </w:r>
    </w:p>
    <w:p w14:paraId="5866D45F">
      <w:pPr>
        <w:ind w:firstLine="616" w:firstLineChars="200"/>
        <w:rPr>
          <w:rFonts w:hint="eastAsia" w:ascii="仿宋_GB2312" w:hAnsi="仿宋_GB2312" w:cs="仿宋_GB2312"/>
          <w:szCs w:val="32"/>
          <w:lang w:bidi="ar"/>
        </w:rPr>
      </w:pPr>
      <w:r>
        <w:rPr>
          <w:rFonts w:hint="eastAsia" w:ascii="仿宋_GB2312" w:hAnsi="仿宋_GB2312" w:cs="仿宋_GB2312"/>
          <w:szCs w:val="32"/>
          <w:lang w:bidi="ar"/>
        </w:rPr>
        <w:t>3. 项目管理：项目程序规范，监管到位，验收及时，得分满分。</w:t>
      </w:r>
    </w:p>
    <w:p w14:paraId="30E4F3C6">
      <w:pPr>
        <w:ind w:firstLine="616" w:firstLineChars="200"/>
        <w:rPr>
          <w:rFonts w:hint="eastAsia" w:ascii="仿宋_GB2312" w:hAnsi="仿宋_GB2312" w:cs="仿宋_GB2312"/>
          <w:szCs w:val="32"/>
          <w:lang w:bidi="ar"/>
        </w:rPr>
      </w:pPr>
      <w:r>
        <w:rPr>
          <w:rFonts w:hint="eastAsia" w:ascii="仿宋_GB2312" w:hAnsi="仿宋_GB2312" w:cs="仿宋_GB2312"/>
          <w:szCs w:val="32"/>
          <w:lang w:bidi="ar"/>
        </w:rPr>
        <w:t>4. 资产管理：资产管理制度健全，配置合理，固定资产利用率98%（目标≥90%），得分满分。</w:t>
      </w:r>
    </w:p>
    <w:p w14:paraId="0E5AC700">
      <w:pPr>
        <w:ind w:firstLine="616" w:firstLineChars="200"/>
        <w:rPr>
          <w:b/>
        </w:rPr>
      </w:pPr>
      <w:r>
        <w:rPr>
          <w:rFonts w:hint="eastAsia"/>
          <w:b/>
        </w:rPr>
        <w:t>（三）</w:t>
      </w:r>
      <w:bookmarkEnd w:id="21"/>
      <w:bookmarkEnd w:id="22"/>
      <w:bookmarkEnd w:id="23"/>
      <w:bookmarkEnd w:id="24"/>
      <w:r>
        <w:rPr>
          <w:rFonts w:hint="eastAsia"/>
          <w:b/>
        </w:rPr>
        <w:t>预算使用效益。</w:t>
      </w:r>
    </w:p>
    <w:p w14:paraId="68838688">
      <w:pPr>
        <w:ind w:firstLine="616" w:firstLineChars="200"/>
        <w:rPr>
          <w:rFonts w:hint="eastAsia" w:ascii="仿宋_GB2312" w:hAnsi="仿宋_GB2312" w:cs="仿宋_GB2312"/>
          <w:szCs w:val="32"/>
          <w:lang w:bidi="ar"/>
        </w:rPr>
      </w:pPr>
      <w:bookmarkStart w:id="25" w:name="_Toc18975"/>
      <w:r>
        <w:rPr>
          <w:rFonts w:hint="eastAsia" w:ascii="仿宋_GB2312" w:hAnsi="仿宋_GB2312" w:cs="仿宋_GB2312"/>
          <w:szCs w:val="32"/>
          <w:lang w:bidi="ar"/>
        </w:rPr>
        <w:t>1. 经济性：“三公”经费和公用经费支出均未超预算，得分满分。</w:t>
      </w:r>
    </w:p>
    <w:p w14:paraId="03748EBC">
      <w:pPr>
        <w:ind w:firstLine="616" w:firstLineChars="200"/>
        <w:rPr>
          <w:rFonts w:hint="eastAsia" w:ascii="仿宋_GB2312" w:hAnsi="仿宋_GB2312" w:cs="仿宋_GB2312"/>
          <w:szCs w:val="32"/>
          <w:lang w:bidi="ar"/>
        </w:rPr>
      </w:pPr>
      <w:r>
        <w:rPr>
          <w:rFonts w:hint="eastAsia" w:ascii="仿宋_GB2312" w:hAnsi="仿宋_GB2312" w:cs="仿宋_GB2312"/>
          <w:szCs w:val="32"/>
          <w:lang w:bidi="ar"/>
        </w:rPr>
        <w:t>2. 效率性：项目完成及时率100%，绩效目标完成率≥90%，重点任务全部按期完成，得分满分。</w:t>
      </w:r>
    </w:p>
    <w:p w14:paraId="71878AC5">
      <w:pPr>
        <w:ind w:firstLine="616" w:firstLineChars="200"/>
        <w:rPr>
          <w:rFonts w:hint="eastAsia" w:ascii="仿宋_GB2312" w:hAnsi="仿宋_GB2312" w:cs="仿宋_GB2312"/>
          <w:szCs w:val="32"/>
          <w:lang w:bidi="ar"/>
        </w:rPr>
      </w:pPr>
      <w:r>
        <w:rPr>
          <w:rFonts w:hint="eastAsia" w:ascii="仿宋_GB2312" w:hAnsi="仿宋_GB2312" w:cs="仿宋_GB2312"/>
          <w:szCs w:val="32"/>
          <w:lang w:bidi="ar"/>
        </w:rPr>
        <w:t>3. 效果性：城镇新增就业2232人（目标≥2,000人），欠薪案件结案率&gt;90%，服务对象满意度100%，部门履职效益显著，得分满分。</w:t>
      </w:r>
    </w:p>
    <w:p w14:paraId="7B4A8DC2">
      <w:pPr>
        <w:ind w:firstLine="616" w:firstLineChars="200"/>
        <w:rPr>
          <w:rFonts w:hint="eastAsia" w:ascii="仿宋_GB2312" w:hAnsi="仿宋_GB2312" w:cs="仿宋_GB2312"/>
          <w:szCs w:val="32"/>
          <w:lang w:bidi="ar"/>
        </w:rPr>
      </w:pPr>
      <w:r>
        <w:rPr>
          <w:rFonts w:hint="eastAsia" w:ascii="仿宋_GB2312" w:hAnsi="仿宋_GB2312" w:cs="仿宋_GB2312"/>
          <w:szCs w:val="32"/>
          <w:lang w:bidi="ar"/>
        </w:rPr>
        <w:t>4. 公平性：建立群众信访渠道并100%回复，公众满意度高，得分满分。</w:t>
      </w:r>
    </w:p>
    <w:p w14:paraId="124F2C74">
      <w:pPr>
        <w:ind w:firstLine="616" w:firstLineChars="200"/>
        <w:rPr>
          <w:rFonts w:hint="eastAsia" w:ascii="楷体_GB2312" w:hAnsi="楷体_GB2312" w:eastAsia="楷体_GB2312" w:cs="楷体_GB2312"/>
          <w:b w:val="0"/>
          <w:bCs w:val="0"/>
          <w:color w:val="000000" w:themeColor="text1"/>
          <w:kern w:val="2"/>
          <w:sz w:val="32"/>
          <w:szCs w:val="32"/>
          <w:lang w:val="en-US" w:eastAsia="zh-CN"/>
        </w:rPr>
      </w:pPr>
      <w:r>
        <w:rPr>
          <w:rFonts w:hint="eastAsia" w:ascii="方正小标宋简体" w:eastAsia="方正小标宋简体"/>
        </w:rPr>
        <w:t>四、存在的问题、原因分析及改进措施</w:t>
      </w:r>
    </w:p>
    <w:p w14:paraId="6DBCCCB8">
      <w:pPr>
        <w:ind w:firstLine="616" w:firstLineChars="200"/>
        <w:rPr>
          <w:rFonts w:hint="eastAsia" w:ascii="仿宋_GB2312" w:hAnsi="仿宋_GB2312" w:eastAsia="仿宋_GB2312" w:cs="仿宋_GB2312"/>
          <w:b w:val="0"/>
          <w:bCs w:val="0"/>
          <w:color w:val="000000" w:themeColor="text1"/>
          <w:kern w:val="2"/>
          <w:sz w:val="32"/>
          <w:szCs w:val="32"/>
          <w:lang w:val="en-US" w:eastAsia="zh-CN"/>
        </w:rPr>
      </w:pPr>
      <w:r>
        <w:rPr>
          <w:rFonts w:hint="eastAsia" w:ascii="仿宋_GB2312" w:hAnsi="仿宋_GB2312" w:eastAsia="仿宋_GB2312" w:cs="仿宋_GB2312"/>
          <w:b w:val="0"/>
          <w:bCs w:val="0"/>
          <w:color w:val="000000" w:themeColor="text1"/>
          <w:kern w:val="2"/>
          <w:sz w:val="32"/>
          <w:szCs w:val="32"/>
          <w:lang w:val="en-US" w:eastAsia="zh-CN"/>
        </w:rPr>
        <w:t>（一）存在问题及原因</w:t>
      </w:r>
    </w:p>
    <w:p w14:paraId="5BE37438">
      <w:pPr>
        <w:ind w:firstLine="616" w:firstLineChars="200"/>
        <w:rPr>
          <w:rFonts w:hint="eastAsia" w:ascii="仿宋_GB2312" w:hAnsi="仿宋_GB2312" w:eastAsia="仿宋_GB2312" w:cs="仿宋_GB2312"/>
          <w:b w:val="0"/>
          <w:bCs w:val="0"/>
          <w:color w:val="000000" w:themeColor="text1"/>
          <w:kern w:val="2"/>
          <w:sz w:val="32"/>
          <w:szCs w:val="32"/>
          <w:lang w:val="en-US" w:eastAsia="zh-CN"/>
        </w:rPr>
      </w:pPr>
      <w:r>
        <w:rPr>
          <w:rFonts w:hint="eastAsia" w:ascii="仿宋_GB2312" w:hAnsi="仿宋_GB2312" w:eastAsia="仿宋_GB2312" w:cs="仿宋_GB2312"/>
          <w:b w:val="0"/>
          <w:bCs w:val="0"/>
          <w:color w:val="000000" w:themeColor="text1"/>
          <w:kern w:val="2"/>
          <w:sz w:val="32"/>
          <w:szCs w:val="32"/>
          <w:lang w:val="en-US" w:eastAsia="zh-CN"/>
        </w:rPr>
        <w:t>2024年我部门预算执行主要问题是部分上级资金下达时间晚</w:t>
      </w:r>
      <w:r>
        <w:rPr>
          <w:rFonts w:hint="eastAsia" w:ascii="仿宋_GB2312" w:hAnsi="仿宋_GB2312" w:cs="仿宋_GB2312"/>
          <w:b w:val="0"/>
          <w:bCs w:val="0"/>
          <w:color w:val="000000" w:themeColor="text1"/>
          <w:kern w:val="2"/>
          <w:sz w:val="32"/>
          <w:szCs w:val="32"/>
          <w:lang w:val="en-US" w:eastAsia="zh-CN"/>
        </w:rPr>
        <w:t>，</w:t>
      </w:r>
      <w:r>
        <w:rPr>
          <w:rFonts w:hint="eastAsia" w:ascii="仿宋_GB2312" w:hAnsi="仿宋_GB2312" w:eastAsia="仿宋_GB2312" w:cs="仿宋_GB2312"/>
          <w:b w:val="0"/>
          <w:bCs w:val="0"/>
          <w:color w:val="000000" w:themeColor="text1"/>
          <w:kern w:val="2"/>
          <w:sz w:val="32"/>
          <w:szCs w:val="32"/>
          <w:lang w:val="en-US" w:eastAsia="zh-CN"/>
        </w:rPr>
        <w:t>项目执行与资金支付衔接不够紧密。</w:t>
      </w:r>
    </w:p>
    <w:p w14:paraId="3392C3FB">
      <w:pPr>
        <w:ind w:firstLine="616" w:firstLineChars="200"/>
        <w:rPr>
          <w:rFonts w:hint="eastAsia" w:ascii="仿宋_GB2312" w:hAnsi="仿宋_GB2312" w:eastAsia="仿宋_GB2312" w:cs="仿宋_GB2312"/>
          <w:b w:val="0"/>
          <w:bCs w:val="0"/>
          <w:color w:val="000000" w:themeColor="text1"/>
          <w:kern w:val="2"/>
          <w:sz w:val="32"/>
          <w:szCs w:val="32"/>
          <w:lang w:val="en-US" w:eastAsia="zh-CN"/>
        </w:rPr>
      </w:pPr>
      <w:r>
        <w:rPr>
          <w:rFonts w:hint="eastAsia" w:ascii="仿宋_GB2312" w:hAnsi="仿宋_GB2312" w:eastAsia="仿宋_GB2312" w:cs="仿宋_GB2312"/>
          <w:b w:val="0"/>
          <w:bCs w:val="0"/>
          <w:color w:val="000000" w:themeColor="text1"/>
          <w:kern w:val="2"/>
          <w:sz w:val="32"/>
          <w:szCs w:val="32"/>
          <w:lang w:val="en-US" w:eastAsia="zh-CN"/>
        </w:rPr>
        <w:t>（二）改进措施与工作计划</w:t>
      </w:r>
    </w:p>
    <w:p w14:paraId="2F053D5F">
      <w:pPr>
        <w:ind w:firstLine="616" w:firstLineChars="200"/>
        <w:rPr>
          <w:rFonts w:hint="eastAsia" w:ascii="仿宋_GB2312" w:hAnsi="仿宋_GB2312" w:eastAsia="仿宋_GB2312" w:cs="仿宋_GB2312"/>
          <w:b w:val="0"/>
          <w:bCs w:val="0"/>
          <w:color w:val="000000" w:themeColor="text1"/>
          <w:kern w:val="2"/>
          <w:sz w:val="32"/>
          <w:szCs w:val="32"/>
          <w:lang w:val="en-US" w:eastAsia="zh-CN"/>
        </w:rPr>
      </w:pPr>
      <w:r>
        <w:rPr>
          <w:rFonts w:hint="eastAsia" w:ascii="仿宋_GB2312" w:hAnsi="仿宋_GB2312" w:eastAsia="仿宋_GB2312" w:cs="仿宋_GB2312"/>
          <w:b w:val="0"/>
          <w:bCs w:val="0"/>
          <w:color w:val="000000" w:themeColor="text1"/>
          <w:kern w:val="2"/>
          <w:sz w:val="32"/>
          <w:szCs w:val="32"/>
          <w:lang w:val="en-US" w:eastAsia="zh-CN"/>
        </w:rPr>
        <w:t>为针对上级资金下达晚、项目与支付衔接不畅的问题，将采取以下改进措施：强化前期准备与动态管理：建立“项目储备库”，提前半年组织项目论证与申报准备工作。对预期下达的上级资金，预先制定详细的支付预案和合同准备流程，确保资金到位即可快速启动支付。优化内部协同与支付流程：打破业务与财务壁垒，明确项目各环节的时限与责任。简化内部审批流程，对已明确标准的补贴类资金，推行“备案制”支付，减少等待时间。实施全周期跟踪预警：对项目实行“季度调度、月度分解”的用款计划管理。运用信息化手段动态监控执行进度，对可能出现的支付延迟风险进行早期预警和干预。</w:t>
      </w:r>
    </w:p>
    <w:p w14:paraId="25E747EC">
      <w:pPr>
        <w:ind w:firstLine="616" w:firstLineChars="200"/>
        <w:rPr>
          <w:rFonts w:hint="eastAsia" w:ascii="仿宋_GB2312" w:hAnsi="仿宋_GB2312" w:eastAsia="仿宋_GB2312" w:cs="仿宋_GB2312"/>
          <w:b w:val="0"/>
          <w:bCs w:val="0"/>
          <w:color w:val="000000" w:themeColor="text1"/>
          <w:kern w:val="2"/>
          <w:sz w:val="32"/>
          <w:szCs w:val="32"/>
          <w:lang w:val="en-US" w:eastAsia="zh-CN"/>
        </w:rPr>
      </w:pPr>
      <w:r>
        <w:rPr>
          <w:rFonts w:hint="eastAsia" w:ascii="仿宋_GB2312" w:hAnsi="仿宋_GB2312" w:eastAsia="仿宋_GB2312" w:cs="仿宋_GB2312"/>
          <w:b w:val="0"/>
          <w:bCs w:val="0"/>
          <w:color w:val="000000" w:themeColor="text1"/>
          <w:kern w:val="2"/>
          <w:sz w:val="32"/>
          <w:szCs w:val="32"/>
          <w:lang w:val="en-US" w:eastAsia="zh-CN"/>
        </w:rPr>
        <w:t>工作计划：</w:t>
      </w:r>
      <w:r>
        <w:rPr>
          <w:rFonts w:hint="eastAsia" w:ascii="仿宋_GB2312" w:hAnsi="仿宋_GB2312" w:cs="仿宋_GB2312"/>
          <w:b w:val="0"/>
          <w:bCs w:val="0"/>
          <w:color w:val="000000" w:themeColor="text1"/>
          <w:kern w:val="2"/>
          <w:sz w:val="32"/>
          <w:szCs w:val="32"/>
          <w:lang w:val="en-US" w:eastAsia="zh-CN"/>
        </w:rPr>
        <w:t>第</w:t>
      </w:r>
      <w:r>
        <w:rPr>
          <w:rFonts w:hint="eastAsia" w:ascii="仿宋_GB2312" w:hAnsi="仿宋_GB2312" w:eastAsia="仿宋_GB2312" w:cs="仿宋_GB2312"/>
          <w:b w:val="0"/>
          <w:bCs w:val="0"/>
          <w:color w:val="000000" w:themeColor="text1"/>
          <w:kern w:val="2"/>
          <w:sz w:val="32"/>
          <w:szCs w:val="32"/>
          <w:lang w:val="en-US" w:eastAsia="zh-CN"/>
        </w:rPr>
        <w:t>一季度</w:t>
      </w:r>
      <w:r>
        <w:rPr>
          <w:rFonts w:hint="eastAsia" w:ascii="仿宋_GB2312" w:hAnsi="仿宋_GB2312" w:cs="仿宋_GB2312"/>
          <w:b w:val="0"/>
          <w:bCs w:val="0"/>
          <w:color w:val="000000" w:themeColor="text1"/>
          <w:kern w:val="2"/>
          <w:sz w:val="32"/>
          <w:szCs w:val="32"/>
          <w:lang w:val="en-US" w:eastAsia="zh-CN"/>
        </w:rPr>
        <w:t>，</w:t>
      </w:r>
      <w:r>
        <w:rPr>
          <w:rFonts w:hint="eastAsia" w:ascii="仿宋_GB2312" w:hAnsi="仿宋_GB2312" w:eastAsia="仿宋_GB2312" w:cs="仿宋_GB2312"/>
          <w:b w:val="0"/>
          <w:bCs w:val="0"/>
          <w:color w:val="000000" w:themeColor="text1"/>
          <w:kern w:val="2"/>
          <w:sz w:val="32"/>
          <w:szCs w:val="32"/>
          <w:lang w:val="en-US" w:eastAsia="zh-CN"/>
        </w:rPr>
        <w:t>完成项目储备库建设，制定年度支付预案模板。</w:t>
      </w:r>
      <w:r>
        <w:rPr>
          <w:rFonts w:hint="eastAsia" w:ascii="仿宋_GB2312" w:hAnsi="仿宋_GB2312" w:cs="仿宋_GB2312"/>
          <w:b w:val="0"/>
          <w:bCs w:val="0"/>
          <w:color w:val="000000" w:themeColor="text1"/>
          <w:kern w:val="2"/>
          <w:sz w:val="32"/>
          <w:szCs w:val="32"/>
          <w:lang w:val="en-US" w:eastAsia="zh-CN"/>
        </w:rPr>
        <w:t>第</w:t>
      </w:r>
      <w:r>
        <w:rPr>
          <w:rFonts w:hint="eastAsia" w:ascii="仿宋_GB2312" w:hAnsi="仿宋_GB2312" w:eastAsia="仿宋_GB2312" w:cs="仿宋_GB2312"/>
          <w:b w:val="0"/>
          <w:bCs w:val="0"/>
          <w:color w:val="000000" w:themeColor="text1"/>
          <w:kern w:val="2"/>
          <w:sz w:val="32"/>
          <w:szCs w:val="32"/>
          <w:lang w:val="en-US" w:eastAsia="zh-CN"/>
        </w:rPr>
        <w:t>二、三季度：运行季度调度机制，对执行项目进行动态跟踪。</w:t>
      </w:r>
      <w:r>
        <w:rPr>
          <w:rFonts w:hint="eastAsia" w:ascii="仿宋_GB2312" w:hAnsi="仿宋_GB2312" w:cs="仿宋_GB2312"/>
          <w:b w:val="0"/>
          <w:bCs w:val="0"/>
          <w:color w:val="000000" w:themeColor="text1"/>
          <w:kern w:val="2"/>
          <w:sz w:val="32"/>
          <w:szCs w:val="32"/>
          <w:lang w:val="en-US" w:eastAsia="zh-CN"/>
        </w:rPr>
        <w:t>第</w:t>
      </w:r>
      <w:r>
        <w:rPr>
          <w:rFonts w:hint="eastAsia" w:ascii="仿宋_GB2312" w:hAnsi="仿宋_GB2312" w:eastAsia="仿宋_GB2312" w:cs="仿宋_GB2312"/>
          <w:b w:val="0"/>
          <w:bCs w:val="0"/>
          <w:color w:val="000000" w:themeColor="text1"/>
          <w:kern w:val="2"/>
          <w:sz w:val="32"/>
          <w:szCs w:val="32"/>
          <w:lang w:val="en-US" w:eastAsia="zh-CN"/>
        </w:rPr>
        <w:t>四季度：总结支付效率，优化下一年度项目准备和支付流程。</w:t>
      </w:r>
    </w:p>
    <w:p w14:paraId="5B33ADC7">
      <w:pPr>
        <w:ind w:firstLine="616" w:firstLineChars="200"/>
        <w:rPr>
          <w:rFonts w:hint="eastAsia" w:ascii="仿宋_GB2312" w:hAnsi="仿宋_GB2312" w:eastAsia="仿宋_GB2312" w:cs="仿宋_GB2312"/>
          <w:b w:val="0"/>
          <w:bCs w:val="0"/>
          <w:color w:val="000000" w:themeColor="text1"/>
          <w:kern w:val="2"/>
          <w:sz w:val="32"/>
          <w:szCs w:val="32"/>
          <w:lang w:val="en-US" w:eastAsia="zh-CN"/>
        </w:rPr>
      </w:pPr>
      <w:r>
        <w:rPr>
          <w:rFonts w:hint="eastAsia" w:ascii="仿宋_GB2312" w:hAnsi="仿宋_GB2312" w:eastAsia="仿宋_GB2312" w:cs="仿宋_GB2312"/>
          <w:b w:val="0"/>
          <w:bCs w:val="0"/>
          <w:color w:val="000000" w:themeColor="text1"/>
          <w:kern w:val="2"/>
          <w:sz w:val="32"/>
          <w:szCs w:val="32"/>
          <w:lang w:val="en-US" w:eastAsia="zh-CN"/>
        </w:rPr>
        <w:t>通过以上措施，力争实现项目“随到随启、资金快付”，提升预算执行效率。</w:t>
      </w:r>
    </w:p>
    <w:p w14:paraId="1E1ED86D">
      <w:pPr>
        <w:ind w:firstLine="616" w:firstLineChars="200"/>
        <w:rPr>
          <w:rFonts w:ascii="方正小标宋简体" w:eastAsia="方正小标宋简体"/>
        </w:rPr>
      </w:pPr>
      <w:r>
        <w:rPr>
          <w:rFonts w:hint="eastAsia" w:ascii="方正小标宋简体" w:eastAsia="方正小标宋简体"/>
        </w:rPr>
        <w:t>五、其他需要说明的情况</w:t>
      </w:r>
    </w:p>
    <w:p w14:paraId="5A9E9C21">
      <w:pPr>
        <w:ind w:firstLine="616" w:firstLineChars="200"/>
      </w:pPr>
      <w:r>
        <w:rPr>
          <w:rFonts w:hint="eastAsia"/>
          <w:lang w:eastAsia="zh-CN"/>
        </w:rPr>
        <w:t>无</w:t>
      </w:r>
      <w:r>
        <w:rPr>
          <w:rFonts w:hint="eastAsia"/>
        </w:rPr>
        <w:t>。</w:t>
      </w:r>
    </w:p>
    <w:bookmarkEnd w:id="25"/>
    <w:p w14:paraId="383A8CBA"/>
    <w:sectPr>
      <w:headerReference r:id="rId3" w:type="default"/>
      <w:pgSz w:w="11906" w:h="16838"/>
      <w:pgMar w:top="1701" w:right="1588" w:bottom="1644" w:left="1701" w:header="851" w:footer="992" w:gutter="0"/>
      <w:cols w:space="425" w:num="1"/>
      <w:docGrid w:type="linesAndChars" w:linePitch="562" w:charSpace="-25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1F47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54"/>
  <w:drawingGridVerticalSpacing w:val="28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A04CD"/>
    <w:rsid w:val="00007A67"/>
    <w:rsid w:val="00022542"/>
    <w:rsid w:val="000258AA"/>
    <w:rsid w:val="000D1E99"/>
    <w:rsid w:val="0012286D"/>
    <w:rsid w:val="00132593"/>
    <w:rsid w:val="00145B76"/>
    <w:rsid w:val="00170E39"/>
    <w:rsid w:val="001834A3"/>
    <w:rsid w:val="00195019"/>
    <w:rsid w:val="001B111B"/>
    <w:rsid w:val="001B4856"/>
    <w:rsid w:val="001D33F5"/>
    <w:rsid w:val="001E1FDF"/>
    <w:rsid w:val="001F096B"/>
    <w:rsid w:val="0022603D"/>
    <w:rsid w:val="00235EDE"/>
    <w:rsid w:val="002A7F8F"/>
    <w:rsid w:val="002C4D92"/>
    <w:rsid w:val="002D7EDF"/>
    <w:rsid w:val="002E516E"/>
    <w:rsid w:val="002E5CB6"/>
    <w:rsid w:val="002F1311"/>
    <w:rsid w:val="00314DC0"/>
    <w:rsid w:val="00331AA1"/>
    <w:rsid w:val="00347820"/>
    <w:rsid w:val="00347914"/>
    <w:rsid w:val="00395359"/>
    <w:rsid w:val="003B7E05"/>
    <w:rsid w:val="004078CE"/>
    <w:rsid w:val="00410146"/>
    <w:rsid w:val="00413B2F"/>
    <w:rsid w:val="00421D22"/>
    <w:rsid w:val="0043014F"/>
    <w:rsid w:val="004531CF"/>
    <w:rsid w:val="004749F5"/>
    <w:rsid w:val="00486009"/>
    <w:rsid w:val="004B2E77"/>
    <w:rsid w:val="004D35D6"/>
    <w:rsid w:val="004D736E"/>
    <w:rsid w:val="00510F6B"/>
    <w:rsid w:val="00537F7E"/>
    <w:rsid w:val="00566EB1"/>
    <w:rsid w:val="00574D73"/>
    <w:rsid w:val="005B06B5"/>
    <w:rsid w:val="005B07DD"/>
    <w:rsid w:val="005B6EB7"/>
    <w:rsid w:val="005B7DAB"/>
    <w:rsid w:val="005C28C3"/>
    <w:rsid w:val="005D4C3F"/>
    <w:rsid w:val="005E6FE2"/>
    <w:rsid w:val="00606F30"/>
    <w:rsid w:val="00620700"/>
    <w:rsid w:val="0062264E"/>
    <w:rsid w:val="006265B7"/>
    <w:rsid w:val="006317C3"/>
    <w:rsid w:val="00665117"/>
    <w:rsid w:val="00675A9A"/>
    <w:rsid w:val="006B0F8D"/>
    <w:rsid w:val="006D4795"/>
    <w:rsid w:val="0074594E"/>
    <w:rsid w:val="00754811"/>
    <w:rsid w:val="007705F1"/>
    <w:rsid w:val="00781B6C"/>
    <w:rsid w:val="0078264B"/>
    <w:rsid w:val="007A7399"/>
    <w:rsid w:val="00804DCB"/>
    <w:rsid w:val="00816A2A"/>
    <w:rsid w:val="008428B2"/>
    <w:rsid w:val="0084340E"/>
    <w:rsid w:val="0086235A"/>
    <w:rsid w:val="00876A57"/>
    <w:rsid w:val="00880F2C"/>
    <w:rsid w:val="008B525A"/>
    <w:rsid w:val="008C30AE"/>
    <w:rsid w:val="008E75C3"/>
    <w:rsid w:val="0090022C"/>
    <w:rsid w:val="00982492"/>
    <w:rsid w:val="00A66BD5"/>
    <w:rsid w:val="00A813BE"/>
    <w:rsid w:val="00A8644D"/>
    <w:rsid w:val="00A91495"/>
    <w:rsid w:val="00AC5B70"/>
    <w:rsid w:val="00AF7207"/>
    <w:rsid w:val="00B05F42"/>
    <w:rsid w:val="00B12D08"/>
    <w:rsid w:val="00B32B1B"/>
    <w:rsid w:val="00B55F8F"/>
    <w:rsid w:val="00BA5204"/>
    <w:rsid w:val="00BF3EFE"/>
    <w:rsid w:val="00BF4502"/>
    <w:rsid w:val="00C005AF"/>
    <w:rsid w:val="00C10A76"/>
    <w:rsid w:val="00C112EA"/>
    <w:rsid w:val="00CD5F4B"/>
    <w:rsid w:val="00D24C0F"/>
    <w:rsid w:val="00D41CC7"/>
    <w:rsid w:val="00D45282"/>
    <w:rsid w:val="00D46575"/>
    <w:rsid w:val="00D67E60"/>
    <w:rsid w:val="00D73EB4"/>
    <w:rsid w:val="00D74AD4"/>
    <w:rsid w:val="00D82FAA"/>
    <w:rsid w:val="00DA04CD"/>
    <w:rsid w:val="00DA43A7"/>
    <w:rsid w:val="00DA5CEB"/>
    <w:rsid w:val="00DC37C4"/>
    <w:rsid w:val="00DC4199"/>
    <w:rsid w:val="00DE17BB"/>
    <w:rsid w:val="00DF7A41"/>
    <w:rsid w:val="00E03302"/>
    <w:rsid w:val="00E21FA4"/>
    <w:rsid w:val="00E23CAC"/>
    <w:rsid w:val="00E3272E"/>
    <w:rsid w:val="00E71A39"/>
    <w:rsid w:val="00E82D5B"/>
    <w:rsid w:val="00EA4E69"/>
    <w:rsid w:val="00EC4520"/>
    <w:rsid w:val="00ED3E32"/>
    <w:rsid w:val="00ED5CA9"/>
    <w:rsid w:val="00F04107"/>
    <w:rsid w:val="00F14CD1"/>
    <w:rsid w:val="00F43167"/>
    <w:rsid w:val="00F43EA4"/>
    <w:rsid w:val="00F57915"/>
    <w:rsid w:val="00FF40BF"/>
    <w:rsid w:val="039B157F"/>
    <w:rsid w:val="141A025D"/>
    <w:rsid w:val="14873384"/>
    <w:rsid w:val="31BB7257"/>
    <w:rsid w:val="4AEE06AD"/>
    <w:rsid w:val="59F6517A"/>
    <w:rsid w:val="60700A8D"/>
    <w:rsid w:val="68681920"/>
    <w:rsid w:val="6AB35823"/>
    <w:rsid w:val="6E9F43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index 5"/>
    <w:basedOn w:val="1"/>
    <w:next w:val="1"/>
    <w:qFormat/>
    <w:uiPriority w:val="0"/>
    <w:pPr>
      <w:ind w:left="1680"/>
    </w:pPr>
  </w:style>
  <w:style w:type="paragraph" w:styleId="4">
    <w:name w:val="Body Text"/>
    <w:basedOn w:val="1"/>
    <w:next w:val="5"/>
    <w:qFormat/>
    <w:uiPriority w:val="0"/>
    <w:pPr>
      <w:spacing w:after="120"/>
    </w:pPr>
  </w:style>
  <w:style w:type="paragraph" w:styleId="5">
    <w:name w:val="footer"/>
    <w:basedOn w:val="1"/>
    <w:next w:val="3"/>
    <w:qFormat/>
    <w:uiPriority w:val="0"/>
    <w:pPr>
      <w:tabs>
        <w:tab w:val="center" w:pos="4153"/>
        <w:tab w:val="right" w:pos="8306"/>
      </w:tabs>
      <w:snapToGrid w:val="0"/>
      <w:jc w:val="left"/>
    </w:pPr>
    <w:rPr>
      <w:sz w:val="18"/>
      <w:szCs w:val="18"/>
    </w:rPr>
  </w:style>
  <w:style w:type="paragraph" w:styleId="6">
    <w:name w:val="Balloon Text"/>
    <w:basedOn w:val="1"/>
    <w:semiHidden/>
    <w:qFormat/>
    <w:uiPriority w:val="0"/>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paragraph" w:customStyle="1" w:styleId="11">
    <w:name w:val="正文首行缩进 21"/>
    <w:basedOn w:val="1"/>
    <w:qFormat/>
    <w:uiPriority w:val="0"/>
    <w:pPr>
      <w:spacing w:line="360" w:lineRule="auto"/>
      <w:ind w:firstLine="420" w:firstLineChars="200"/>
      <w:textAlignment w:val="baseline"/>
    </w:pPr>
    <w:rPr>
      <w:rFonts w:eastAsia="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3631</Words>
  <Characters>3653</Characters>
  <Lines>6</Lines>
  <Paragraphs>1</Paragraphs>
  <TotalTime>56</TotalTime>
  <ScaleCrop>false</ScaleCrop>
  <LinksUpToDate>false</LinksUpToDate>
  <CharactersWithSpaces>3736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2020-07-14T08:14:00Z</dcterms:created>
  <dc:creator>苏锦雯</dc:creator>
  <cp:lastModifiedBy>企业用户_334261884</cp:lastModifiedBy>
  <cp:lastPrinted>2020-07-14T08:13:00Z</cp:lastPrinted>
  <dcterms:modified xsi:type="dcterms:W3CDTF">2026-05-29T04:58:41Z</dcterms:modified>
  <dc:title>附件2-1.市级财政资金绩效自评报告</dc:title>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B15D5FE04C214C6DB5D9D8AC438660BF</vt:lpwstr>
  </property>
  <property fmtid="{D5CDD505-2E9C-101B-9397-08002B2CF9AE}" pid="4" name="KSOTemplateDocerSaveRecord">
    <vt:lpwstr>eyJoZGlkIjoiZjA4ZjFiM2E5YzM0YmE2MjliNDc4MTM0NTAyNDZkNGQiLCJ1c2VySWQiOiIxNjU2Mjc1NjU2In0=</vt:lpwstr>
  </property>
</Properties>
</file>