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48A28">
      <w:pPr>
        <w:rPr>
          <w:rFonts w:ascii="宋体" w:hAnsi="宋体" w:eastAsia="宋体"/>
          <w:sz w:val="28"/>
          <w:szCs w:val="28"/>
        </w:rPr>
      </w:pPr>
      <w:r>
        <w:rPr>
          <w:rFonts w:hint="eastAsia" w:ascii="宋体" w:hAnsi="宋体" w:eastAsia="宋体"/>
          <w:sz w:val="28"/>
          <w:szCs w:val="28"/>
        </w:rPr>
        <w:t>附件2-3</w:t>
      </w:r>
    </w:p>
    <w:p w14:paraId="78A8A713"/>
    <w:p w14:paraId="4890946A">
      <w:pPr>
        <w:spacing w:line="360" w:lineRule="auto"/>
        <w:jc w:val="center"/>
        <w:rPr>
          <w:rFonts w:ascii="方正小标宋简体" w:eastAsia="方正小标宋简体"/>
          <w:sz w:val="44"/>
          <w:szCs w:val="44"/>
        </w:rPr>
      </w:pPr>
      <w:r>
        <w:rPr>
          <w:rFonts w:hint="eastAsia" w:ascii="方正小标宋简体" w:eastAsia="方正小标宋简体"/>
          <w:sz w:val="44"/>
          <w:szCs w:val="44"/>
        </w:rPr>
        <w:t>县级部门整体支出绩效自评报告</w:t>
      </w:r>
    </w:p>
    <w:p w14:paraId="76CC9828"/>
    <w:p w14:paraId="4CA5ACFD"/>
    <w:p w14:paraId="1359412D"/>
    <w:p w14:paraId="6635A9F1"/>
    <w:p w14:paraId="576E8ACF">
      <w:pPr>
        <w:ind w:firstLine="1894" w:firstLineChars="592"/>
        <w:rPr>
          <w:rFonts w:hint="eastAsia" w:eastAsia="仿宋_GB2312"/>
          <w:lang w:eastAsia="zh-CN"/>
        </w:rPr>
      </w:pPr>
      <w:r>
        <w:rPr>
          <w:rFonts w:hint="eastAsia"/>
        </w:rPr>
        <w:t>部门名称（公章）：</w:t>
      </w:r>
      <w:r>
        <w:rPr>
          <w:rFonts w:hint="eastAsia" w:ascii="仿宋_GB2312"/>
          <w:lang w:eastAsia="zh-CN"/>
        </w:rPr>
        <w:t>阳西县人力资源和社会保障局</w:t>
      </w:r>
    </w:p>
    <w:p w14:paraId="58819058">
      <w:pPr>
        <w:ind w:firstLine="1894" w:firstLineChars="592"/>
        <w:rPr>
          <w:rFonts w:hint="eastAsia" w:eastAsia="仿宋_GB2312"/>
          <w:lang w:eastAsia="zh-CN"/>
        </w:rPr>
      </w:pPr>
      <w:r>
        <w:rPr>
          <w:rFonts w:hint="eastAsia"/>
        </w:rPr>
        <w:t>填报人姓名：</w:t>
      </w:r>
      <w:r>
        <w:rPr>
          <w:rFonts w:hint="eastAsia"/>
          <w:lang w:eastAsia="zh-CN"/>
        </w:rPr>
        <w:t>骆美铃</w:t>
      </w:r>
    </w:p>
    <w:p w14:paraId="58F69CF1">
      <w:pPr>
        <w:ind w:firstLine="1894" w:firstLineChars="592"/>
        <w:rPr>
          <w:rFonts w:hint="default" w:eastAsia="仿宋_GB2312"/>
          <w:lang w:val="en-US" w:eastAsia="zh-CN"/>
        </w:rPr>
      </w:pPr>
      <w:r>
        <w:rPr>
          <w:rFonts w:hint="eastAsia"/>
        </w:rPr>
        <w:t>联系电话：</w:t>
      </w:r>
      <w:r>
        <w:rPr>
          <w:rFonts w:hint="eastAsia"/>
          <w:lang w:val="en-US" w:eastAsia="zh-CN"/>
        </w:rPr>
        <w:t>0662-5540829</w:t>
      </w:r>
    </w:p>
    <w:p w14:paraId="44490AD0">
      <w:pPr>
        <w:ind w:firstLine="1894" w:firstLineChars="592"/>
        <w:rPr>
          <w:rFonts w:hint="default" w:eastAsia="仿宋_GB2312"/>
          <w:lang w:val="en-US" w:eastAsia="zh-CN"/>
        </w:rPr>
      </w:pPr>
      <w:r>
        <w:rPr>
          <w:rFonts w:hint="eastAsia"/>
        </w:rPr>
        <w:t>填报日期：</w:t>
      </w:r>
      <w:r>
        <w:rPr>
          <w:rFonts w:hint="eastAsia"/>
          <w:lang w:val="en-US" w:eastAsia="zh-CN"/>
        </w:rPr>
        <w:t>2026.02.12</w:t>
      </w:r>
    </w:p>
    <w:p w14:paraId="4F5BA250"/>
    <w:p w14:paraId="1DB78A3C"/>
    <w:p w14:paraId="0A157458"/>
    <w:p w14:paraId="5D187F9A"/>
    <w:p w14:paraId="3E7D1E8A">
      <w:r>
        <w:rPr>
          <w:rFonts w:hint="eastAsia"/>
        </w:rPr>
        <w:t xml:space="preserve">                     阳西县财政局制</w:t>
      </w:r>
    </w:p>
    <w:p w14:paraId="24E510E3">
      <w:r>
        <w:rPr>
          <w:rFonts w:hint="eastAsia"/>
        </w:rPr>
        <w:t xml:space="preserve">                         202</w:t>
      </w:r>
      <w:r>
        <w:rPr>
          <w:rFonts w:hint="eastAsia"/>
          <w:lang w:val="en-US" w:eastAsia="zh-CN"/>
        </w:rPr>
        <w:t>6</w:t>
      </w:r>
      <w:r>
        <w:rPr>
          <w:rFonts w:hint="eastAsia"/>
        </w:rPr>
        <w:t>年</w:t>
      </w:r>
    </w:p>
    <w:p w14:paraId="77C0FA48"/>
    <w:p w14:paraId="446DBDD3"/>
    <w:p w14:paraId="6D3154DC">
      <w:pPr>
        <w:pStyle w:val="11"/>
        <w:ind w:firstLine="640"/>
        <w:rPr>
          <w:rFonts w:ascii="仿宋_GB2312" w:hAnsi="Times New Roman" w:eastAsia="仿宋_GB2312"/>
          <w:sz w:val="32"/>
          <w:szCs w:val="32"/>
        </w:rPr>
        <w:sectPr>
          <w:pgSz w:w="11906" w:h="16838"/>
          <w:pgMar w:top="2041" w:right="1417" w:bottom="1417" w:left="1531" w:header="851" w:footer="992" w:gutter="0"/>
          <w:pgNumType w:fmt="numberInDash" w:start="1"/>
          <w:cols w:space="720" w:num="1"/>
          <w:docGrid w:type="lines" w:linePitch="312" w:charSpace="0"/>
        </w:sectPr>
      </w:pPr>
    </w:p>
    <w:p w14:paraId="4E427AF2">
      <w:pPr>
        <w:ind w:firstLine="616" w:firstLineChars="200"/>
        <w:rPr>
          <w:rFonts w:ascii="方正小标宋简体" w:eastAsia="方正小标宋简体"/>
        </w:rPr>
      </w:pPr>
      <w:bookmarkStart w:id="0" w:name="_Toc28838"/>
      <w:bookmarkStart w:id="1" w:name="_Toc8021_WPSOffice_Level2"/>
      <w:r>
        <w:rPr>
          <w:rFonts w:hint="eastAsia" w:ascii="方正小标宋简体" w:eastAsia="方正小标宋简体"/>
        </w:rPr>
        <w:t>一、部门基本情况</w:t>
      </w:r>
      <w:bookmarkEnd w:id="0"/>
    </w:p>
    <w:bookmarkEnd w:id="1"/>
    <w:p w14:paraId="6AE8A34B">
      <w:pPr>
        <w:ind w:firstLine="616" w:firstLineChars="200"/>
        <w:rPr>
          <w:b/>
        </w:rPr>
      </w:pPr>
      <w:bookmarkStart w:id="2" w:name="_Toc30104"/>
      <w:bookmarkStart w:id="3" w:name="_Toc23683"/>
      <w:bookmarkStart w:id="4" w:name="_Toc5988_WPSOffice_Level3"/>
      <w:r>
        <w:rPr>
          <w:rFonts w:hint="eastAsia"/>
          <w:b/>
        </w:rPr>
        <w:t>（一）部门整体概况</w:t>
      </w:r>
      <w:bookmarkEnd w:id="2"/>
      <w:bookmarkEnd w:id="3"/>
      <w:bookmarkEnd w:id="4"/>
      <w:r>
        <w:rPr>
          <w:rFonts w:hint="eastAsia"/>
          <w:b/>
        </w:rPr>
        <w:t>。</w:t>
      </w:r>
    </w:p>
    <w:p w14:paraId="50F15E2B">
      <w:pPr>
        <w:ind w:firstLine="576" w:firstLineChars="200"/>
        <w:rPr>
          <w:rFonts w:hint="eastAsia" w:ascii="宋体" w:hAnsi="宋体" w:eastAsia="宋体" w:cs="宋体"/>
          <w:b w:val="0"/>
          <w:bCs w:val="0"/>
          <w:color w:val="000000"/>
          <w:sz w:val="30"/>
          <w:szCs w:val="30"/>
        </w:rPr>
      </w:pPr>
      <w:bookmarkStart w:id="5" w:name="_Toc25996"/>
      <w:bookmarkStart w:id="6" w:name="_Toc14936_WPSOffice_Level2"/>
      <w:r>
        <w:rPr>
          <w:rFonts w:hint="eastAsia" w:ascii="宋体" w:hAnsi="宋体" w:eastAsia="宋体" w:cs="宋体"/>
          <w:b w:val="0"/>
          <w:bCs w:val="0"/>
          <w:color w:val="000000"/>
          <w:sz w:val="30"/>
          <w:szCs w:val="30"/>
        </w:rPr>
        <w:t>主要职责</w:t>
      </w:r>
      <w:r>
        <w:rPr>
          <w:rFonts w:hint="eastAsia" w:ascii="宋体" w:hAnsi="宋体" w:eastAsia="宋体" w:cs="宋体"/>
          <w:b w:val="0"/>
          <w:bCs w:val="0"/>
          <w:color w:val="000000"/>
          <w:sz w:val="30"/>
          <w:szCs w:val="30"/>
          <w:lang w:eastAsia="zh-CN"/>
        </w:rPr>
        <w:t>。</w:t>
      </w:r>
      <w:r>
        <w:rPr>
          <w:rFonts w:hint="eastAsia" w:ascii="宋体" w:hAnsi="宋体" w:eastAsia="宋体" w:cs="宋体"/>
          <w:b w:val="0"/>
          <w:bCs w:val="0"/>
          <w:color w:val="000000"/>
          <w:sz w:val="30"/>
          <w:szCs w:val="30"/>
        </w:rPr>
        <w:t>（</w:t>
      </w:r>
      <w:r>
        <w:rPr>
          <w:rFonts w:hint="eastAsia" w:ascii="宋体" w:hAnsi="宋体" w:eastAsia="宋体" w:cs="宋体"/>
          <w:b w:val="0"/>
          <w:bCs w:val="0"/>
          <w:color w:val="000000"/>
          <w:sz w:val="30"/>
          <w:szCs w:val="30"/>
          <w:lang w:val="en-US" w:eastAsia="zh-CN"/>
        </w:rPr>
        <w:t>1</w:t>
      </w:r>
      <w:r>
        <w:rPr>
          <w:rFonts w:hint="eastAsia" w:ascii="宋体" w:hAnsi="宋体" w:eastAsia="宋体" w:cs="宋体"/>
          <w:b w:val="0"/>
          <w:bCs w:val="0"/>
          <w:color w:val="000000"/>
          <w:sz w:val="30"/>
          <w:szCs w:val="30"/>
        </w:rPr>
        <w:t>）贯彻执行国家、省、市、县有关人力资源和社会保障、医疗保障事业发展的方针政策和法律法规规章，起草有关本县规范性文件草案，制定全县人力资源和社会保障、医疗保障事业发展规划、方案并组织实施。（</w:t>
      </w:r>
      <w:r>
        <w:rPr>
          <w:rFonts w:hint="eastAsia" w:ascii="宋体" w:hAnsi="宋体" w:eastAsia="宋体" w:cs="宋体"/>
          <w:b w:val="0"/>
          <w:bCs w:val="0"/>
          <w:color w:val="000000"/>
          <w:sz w:val="30"/>
          <w:szCs w:val="30"/>
          <w:lang w:val="en-US" w:eastAsia="zh-CN"/>
        </w:rPr>
        <w:t>2</w:t>
      </w:r>
      <w:r>
        <w:rPr>
          <w:rFonts w:hint="eastAsia" w:ascii="宋体" w:hAnsi="宋体" w:eastAsia="宋体" w:cs="宋体"/>
          <w:b w:val="0"/>
          <w:bCs w:val="0"/>
          <w:color w:val="000000"/>
          <w:sz w:val="30"/>
          <w:szCs w:val="30"/>
        </w:rPr>
        <w:t>）拟订并组织实施本县人力资源市场发展规划和人力资源流动措施，建立统一规范的人力资源市场，促进人力资源合理流动、有效配置。（</w:t>
      </w:r>
      <w:r>
        <w:rPr>
          <w:rFonts w:hint="eastAsia" w:ascii="宋体" w:hAnsi="宋体" w:eastAsia="宋体" w:cs="宋体"/>
          <w:b w:val="0"/>
          <w:bCs w:val="0"/>
          <w:color w:val="000000"/>
          <w:sz w:val="30"/>
          <w:szCs w:val="30"/>
          <w:lang w:val="en-US" w:eastAsia="zh-CN"/>
        </w:rPr>
        <w:t>3</w:t>
      </w:r>
      <w:r>
        <w:rPr>
          <w:rFonts w:hint="eastAsia" w:ascii="宋体" w:hAnsi="宋体" w:eastAsia="宋体" w:cs="宋体"/>
          <w:b w:val="0"/>
          <w:bCs w:val="0"/>
          <w:color w:val="000000"/>
          <w:sz w:val="30"/>
          <w:szCs w:val="30"/>
        </w:rPr>
        <w:t>）负责促进就业创业工作，拟订统筹城乡的就业创业发展规划和措施，完善公共就业创业服务体系，健全就业援助制度，完善职业资格制度，统筹建立面向全体劳动者的职业培训制度，组织实施高校毕业生就业政策，会同有关部门拟订技能人才、农村实用型人才培养和激励措施。（</w:t>
      </w:r>
      <w:r>
        <w:rPr>
          <w:rFonts w:hint="eastAsia" w:ascii="宋体" w:hAnsi="宋体" w:eastAsia="宋体" w:cs="宋体"/>
          <w:b w:val="0"/>
          <w:bCs w:val="0"/>
          <w:color w:val="000000"/>
          <w:sz w:val="30"/>
          <w:szCs w:val="30"/>
          <w:lang w:val="en-US" w:eastAsia="zh-CN"/>
        </w:rPr>
        <w:t>4</w:t>
      </w:r>
      <w:r>
        <w:rPr>
          <w:rFonts w:hint="eastAsia" w:ascii="宋体" w:hAnsi="宋体" w:eastAsia="宋体" w:cs="宋体"/>
          <w:b w:val="0"/>
          <w:bCs w:val="0"/>
          <w:color w:val="000000"/>
          <w:sz w:val="30"/>
          <w:szCs w:val="30"/>
        </w:rPr>
        <w:t>）统筹推进建立覆盖城乡的多层次社会保障体系。拟订并贯彻执行养老、失业、工伤、医疗等社会保险及其补充保险政策和标准。组织拟订并贯彻执行基础养老金统筹办法和机关企事业单位基本养老保险政策并逐步提高统筹层次。拟订企业年金、职业年金政策并组织实施。会同有关部门拟订养老、失业、工伤、医疗保险及其补充保险基金管理和监督管理制度，会同有关部门编制本县养老、失业、工伤、医疗保险基金预决算草案。（</w:t>
      </w:r>
      <w:r>
        <w:rPr>
          <w:rFonts w:hint="eastAsia" w:ascii="宋体" w:hAnsi="宋体" w:eastAsia="宋体" w:cs="宋体"/>
          <w:b w:val="0"/>
          <w:bCs w:val="0"/>
          <w:color w:val="000000"/>
          <w:sz w:val="30"/>
          <w:szCs w:val="30"/>
          <w:lang w:val="en-US" w:eastAsia="zh-CN"/>
        </w:rPr>
        <w:t>5</w:t>
      </w:r>
      <w:r>
        <w:rPr>
          <w:rFonts w:hint="eastAsia" w:ascii="宋体" w:hAnsi="宋体" w:eastAsia="宋体" w:cs="宋体"/>
          <w:b w:val="0"/>
          <w:bCs w:val="0"/>
          <w:color w:val="000000"/>
          <w:sz w:val="30"/>
          <w:szCs w:val="30"/>
        </w:rPr>
        <w:t>）负责就业及养老、失业、工伤保险基金预测预警和信息引导，拟订应对预案，实施预防、调节和控制，保持就业形势稳定。（</w:t>
      </w:r>
      <w:r>
        <w:rPr>
          <w:rFonts w:hint="eastAsia" w:ascii="宋体" w:hAnsi="宋体" w:eastAsia="宋体" w:cs="宋体"/>
          <w:b w:val="0"/>
          <w:bCs w:val="0"/>
          <w:color w:val="000000"/>
          <w:sz w:val="30"/>
          <w:szCs w:val="30"/>
          <w:lang w:val="en-US" w:eastAsia="zh-CN"/>
        </w:rPr>
        <w:t>6</w:t>
      </w:r>
      <w:r>
        <w:rPr>
          <w:rFonts w:hint="eastAsia" w:ascii="宋体" w:hAnsi="宋体" w:eastAsia="宋体" w:cs="宋体"/>
          <w:b w:val="0"/>
          <w:bCs w:val="0"/>
          <w:color w:val="000000"/>
          <w:sz w:val="30"/>
          <w:szCs w:val="30"/>
        </w:rPr>
        <w:t>）执行事业单位人员工资收入分配政策，建立企事业单位人员工资正常增长和支付保障机制，贯彻企事业单位人员福利和离退休政策。（</w:t>
      </w:r>
      <w:r>
        <w:rPr>
          <w:rFonts w:hint="eastAsia" w:ascii="宋体" w:hAnsi="宋体" w:eastAsia="宋体" w:cs="宋体"/>
          <w:b w:val="0"/>
          <w:bCs w:val="0"/>
          <w:color w:val="000000"/>
          <w:sz w:val="30"/>
          <w:szCs w:val="30"/>
          <w:lang w:val="en-US" w:eastAsia="zh-CN"/>
        </w:rPr>
        <w:t>7</w:t>
      </w:r>
      <w:r>
        <w:rPr>
          <w:rFonts w:hint="eastAsia" w:ascii="宋体" w:hAnsi="宋体" w:eastAsia="宋体" w:cs="宋体"/>
          <w:b w:val="0"/>
          <w:bCs w:val="0"/>
          <w:color w:val="000000"/>
          <w:sz w:val="30"/>
          <w:szCs w:val="30"/>
        </w:rPr>
        <w:t>）会同有关部门指导事业单位人事制度改革，拟订事业单位人员和合同制职员管理办法，指导人才管理和开发工作，制定专业技术人员管理和继续教育措施，负责企事业单位管理人员继续教育管理工作，牵头推进深化职称制度改革工作，监督、指导博士、博士后工作站的管理和服务工作，负责中、高层次专业技术人才选拔和培养工作。（</w:t>
      </w:r>
      <w:r>
        <w:rPr>
          <w:rFonts w:hint="eastAsia" w:ascii="宋体" w:hAnsi="宋体" w:eastAsia="宋体" w:cs="宋体"/>
          <w:b w:val="0"/>
          <w:bCs w:val="0"/>
          <w:color w:val="000000"/>
          <w:sz w:val="30"/>
          <w:szCs w:val="30"/>
          <w:lang w:val="en-US" w:eastAsia="zh-CN"/>
        </w:rPr>
        <w:t>8</w:t>
      </w:r>
      <w:r>
        <w:rPr>
          <w:rFonts w:hint="eastAsia" w:ascii="宋体" w:hAnsi="宋体" w:eastAsia="宋体" w:cs="宋体"/>
          <w:b w:val="0"/>
          <w:bCs w:val="0"/>
          <w:color w:val="000000"/>
          <w:sz w:val="30"/>
          <w:szCs w:val="30"/>
        </w:rPr>
        <w:t>）会同有关部门拟订异地务工人员服务管理综合性措施和规划，指导开展职业技能培训，推动相关政策落实，协调解决重点难点问题，维护异地务工人员合法权益。（</w:t>
      </w:r>
      <w:r>
        <w:rPr>
          <w:rFonts w:hint="eastAsia" w:ascii="宋体" w:hAnsi="宋体" w:eastAsia="宋体" w:cs="宋体"/>
          <w:b w:val="0"/>
          <w:bCs w:val="0"/>
          <w:color w:val="000000"/>
          <w:sz w:val="30"/>
          <w:szCs w:val="30"/>
          <w:lang w:val="en-US" w:eastAsia="zh-CN"/>
        </w:rPr>
        <w:t>9</w:t>
      </w:r>
      <w:r>
        <w:rPr>
          <w:rFonts w:hint="eastAsia" w:ascii="宋体" w:hAnsi="宋体" w:eastAsia="宋体" w:cs="宋体"/>
          <w:b w:val="0"/>
          <w:bCs w:val="0"/>
          <w:color w:val="000000"/>
          <w:sz w:val="30"/>
          <w:szCs w:val="30"/>
        </w:rPr>
        <w:t>）统筹落实劳动、人事争议调解仲裁制度和劳动关系政策，完善劳动关系协调机制，组织落实禁止非法使用童工政策和女工、未成年工的特殊劳动保护政策，组织实施劳动监察，协调劳动者维权工作，依法查处重大案件。（</w:t>
      </w:r>
      <w:r>
        <w:rPr>
          <w:rFonts w:hint="eastAsia" w:ascii="宋体" w:hAnsi="宋体" w:eastAsia="宋体" w:cs="宋体"/>
          <w:b w:val="0"/>
          <w:bCs w:val="0"/>
          <w:color w:val="000000"/>
          <w:sz w:val="30"/>
          <w:szCs w:val="30"/>
          <w:lang w:val="en-US" w:eastAsia="zh-CN"/>
        </w:rPr>
        <w:t>10</w:t>
      </w:r>
      <w:r>
        <w:rPr>
          <w:rFonts w:hint="eastAsia" w:ascii="宋体" w:hAnsi="宋体" w:eastAsia="宋体" w:cs="宋体"/>
          <w:b w:val="0"/>
          <w:bCs w:val="0"/>
          <w:color w:val="000000"/>
          <w:sz w:val="30"/>
          <w:szCs w:val="30"/>
        </w:rPr>
        <w:t>）组织实施医疗保障基金管理和基金监督管理制度，建立健全医疗保障基金安全防控机制，拟订应对预案并组织实施。贯彻落实医疗保障筹资和待遇政策，执行城乡医疗保障待遇标准，落实与筹资水平相适应的待遇调整机制。组织拟订并实施长期护理保险制度改革方案。（</w:t>
      </w:r>
      <w:r>
        <w:rPr>
          <w:rFonts w:hint="eastAsia" w:ascii="宋体" w:hAnsi="宋体" w:eastAsia="宋体" w:cs="宋体"/>
          <w:b w:val="0"/>
          <w:bCs w:val="0"/>
          <w:color w:val="000000"/>
          <w:sz w:val="30"/>
          <w:szCs w:val="30"/>
          <w:lang w:val="en-US" w:eastAsia="zh-CN"/>
        </w:rPr>
        <w:t>11</w:t>
      </w:r>
      <w:r>
        <w:rPr>
          <w:rFonts w:hint="eastAsia" w:ascii="宋体" w:hAnsi="宋体" w:eastAsia="宋体" w:cs="宋体"/>
          <w:b w:val="0"/>
          <w:bCs w:val="0"/>
          <w:color w:val="000000"/>
          <w:sz w:val="30"/>
          <w:szCs w:val="30"/>
        </w:rPr>
        <w:t>）按照国家、省、市有关规定组织实施城乡统一的药品、医用耗材、医疗服务项目、医疗服务设施等医疗保障目录和支付标准。贯彻落实药品、医用耗材价格和医疗服务项目、医疗服务设施收费等政策，实施价格信息监测和信息发布制度。按照国家、省、市有关规定组织并实施药品、医用耗材的招标采购政策。（</w:t>
      </w:r>
      <w:r>
        <w:rPr>
          <w:rFonts w:hint="eastAsia" w:ascii="宋体" w:hAnsi="宋体" w:eastAsia="宋体" w:cs="宋体"/>
          <w:b w:val="0"/>
          <w:bCs w:val="0"/>
          <w:color w:val="000000"/>
          <w:sz w:val="30"/>
          <w:szCs w:val="30"/>
          <w:lang w:val="en-US" w:eastAsia="zh-CN"/>
        </w:rPr>
        <w:t>12</w:t>
      </w:r>
      <w:r>
        <w:rPr>
          <w:rFonts w:hint="eastAsia" w:ascii="宋体" w:hAnsi="宋体" w:eastAsia="宋体" w:cs="宋体"/>
          <w:b w:val="0"/>
          <w:bCs w:val="0"/>
          <w:color w:val="000000"/>
          <w:sz w:val="30"/>
          <w:szCs w:val="30"/>
        </w:rPr>
        <w:t>）贯彻落实定点医药机构协议和支付管理办法，开展医疗保险基金支付方式改革，健全定点医药服务评价体系和信息披露制度.监督管理纳入医疗保障范围内的医疗服务行为和医疗费用。依法查处医疗保障领域违法违规行为。协调指导医疗保障经办管理、落实公共服务体系和信息化建设，贯彻执行异地就医管理和费用结算政策。协调医疗保障关系转移接续工作。开展医疗保障领域合作交流。（十三）完成县委、县政府和市人力资源和社会保障局、市医疗保障局交办的其他任务。</w:t>
      </w:r>
    </w:p>
    <w:p w14:paraId="2D018381">
      <w:pPr>
        <w:ind w:firstLine="576" w:firstLineChars="200"/>
        <w:rPr>
          <w:rFonts w:hint="eastAsia" w:ascii="宋体" w:hAnsi="宋体" w:eastAsia="宋体" w:cs="宋体"/>
          <w:b w:val="0"/>
          <w:bCs w:val="0"/>
          <w:color w:val="000000"/>
          <w:sz w:val="30"/>
          <w:szCs w:val="30"/>
        </w:rPr>
      </w:pPr>
      <w:r>
        <w:rPr>
          <w:rFonts w:hint="eastAsia" w:ascii="宋体" w:hAnsi="宋体" w:eastAsia="宋体" w:cs="宋体"/>
          <w:b w:val="0"/>
          <w:bCs w:val="0"/>
          <w:color w:val="000000"/>
          <w:sz w:val="30"/>
          <w:szCs w:val="30"/>
        </w:rPr>
        <w:t>部门机构设置</w:t>
      </w:r>
      <w:r>
        <w:rPr>
          <w:rFonts w:hint="eastAsia" w:ascii="仿宋" w:hAnsi="仿宋" w:eastAsia="仿宋" w:cs="仿宋"/>
          <w:b w:val="0"/>
          <w:bCs w:val="0"/>
          <w:color w:val="000000"/>
          <w:sz w:val="30"/>
          <w:szCs w:val="30"/>
        </w:rPr>
        <w:t>。</w:t>
      </w:r>
      <w:r>
        <w:rPr>
          <w:rFonts w:hint="eastAsia" w:ascii="宋体" w:hAnsi="宋体" w:eastAsia="宋体" w:cs="宋体"/>
          <w:b w:val="0"/>
          <w:bCs w:val="0"/>
          <w:color w:val="000000"/>
          <w:sz w:val="30"/>
          <w:szCs w:val="30"/>
        </w:rPr>
        <w:t>阳西县人力资源和社会保障局内设11个股室6个非独立核算的事业单位，股室分别是：办公室、政策法规行政审批与医保基金监管股、财务与基金监督股、就业促进股、调解仲裁管理股（县劳动人事争议仲裁委员会办公室）、培训教育和专业技术人员管理股、事业单位人事管理股、劳动关系与工资福利股、养老失业工伤保险股、医疗保障和医药服务管理股、阳西县劳动保障监察综合执法大队；非独立核算的事业单位分别是：阳西县人事考试中心、阳西县人力资源综合训练中心、阳西县职业技能鉴定中心、阳西县公共就业服务中心、阳西县医疗保障事业管理中心、阳西县劳动人事争议仲裁院。</w:t>
      </w:r>
      <w:bookmarkStart w:id="26" w:name="_GoBack"/>
      <w:bookmarkEnd w:id="26"/>
    </w:p>
    <w:p w14:paraId="3B48282D">
      <w:pPr>
        <w:ind w:firstLine="616" w:firstLineChars="200"/>
        <w:rPr>
          <w:b/>
        </w:rPr>
      </w:pPr>
      <w:r>
        <w:rPr>
          <w:rFonts w:hint="eastAsia"/>
          <w:b/>
        </w:rPr>
        <w:t>（二）年度总体工作和重点工作任务</w:t>
      </w:r>
      <w:bookmarkEnd w:id="5"/>
      <w:bookmarkEnd w:id="6"/>
      <w:r>
        <w:rPr>
          <w:rFonts w:hint="eastAsia"/>
          <w:b/>
        </w:rPr>
        <w:t>。</w:t>
      </w:r>
    </w:p>
    <w:p w14:paraId="39D24303">
      <w:pPr>
        <w:ind w:firstLine="576" w:firstLineChars="200"/>
        <w:rPr>
          <w:rFonts w:hint="eastAsia" w:ascii="宋体" w:hAnsi="宋体" w:eastAsia="宋体" w:cs="宋体"/>
          <w:bCs/>
          <w:sz w:val="30"/>
          <w:szCs w:val="30"/>
          <w:lang w:val="en-US" w:eastAsia="zh-CN" w:bidi="ar"/>
        </w:rPr>
      </w:pPr>
      <w:r>
        <w:rPr>
          <w:rFonts w:hint="eastAsia" w:ascii="宋体" w:hAnsi="宋体" w:eastAsia="宋体" w:cs="宋体"/>
          <w:bCs/>
          <w:sz w:val="30"/>
          <w:szCs w:val="30"/>
          <w:lang w:bidi="ar"/>
        </w:rPr>
        <w:t>202</w:t>
      </w:r>
      <w:r>
        <w:rPr>
          <w:rFonts w:hint="eastAsia" w:ascii="宋体" w:hAnsi="宋体" w:eastAsia="宋体" w:cs="宋体"/>
          <w:bCs/>
          <w:sz w:val="30"/>
          <w:szCs w:val="30"/>
          <w:lang w:val="en-US" w:eastAsia="zh-CN" w:bidi="ar"/>
        </w:rPr>
        <w:t>5年度总体工作。优化稳就业工作，保持就业局势稳定；纵深推进三项工程，有效提升全民技能水平；加大人才引进力度，提升人才服务水平；完善健全社保机制，织密织牢民生保障网；查处定点医药机构违规行为，加大力度打击欺诈骗保；持续深入推进医保支付方式改革，提高基金拨付效率；保障劳动合法权益，构建和谐劳动关系。</w:t>
      </w:r>
    </w:p>
    <w:p w14:paraId="0B6D168A">
      <w:pPr>
        <w:ind w:firstLine="576" w:firstLineChars="200"/>
        <w:rPr>
          <w:rFonts w:hint="eastAsia" w:ascii="宋体" w:hAnsi="宋体" w:eastAsia="宋体" w:cs="宋体"/>
          <w:bCs/>
          <w:kern w:val="2"/>
          <w:sz w:val="30"/>
          <w:szCs w:val="30"/>
          <w:lang w:val="en-US" w:eastAsia="zh-CN" w:bidi="ar"/>
        </w:rPr>
      </w:pPr>
      <w:r>
        <w:rPr>
          <w:rFonts w:hint="eastAsia" w:ascii="宋体" w:hAnsi="宋体" w:eastAsia="宋体" w:cs="宋体"/>
          <w:bCs/>
          <w:sz w:val="30"/>
          <w:szCs w:val="30"/>
          <w:lang w:val="en-US" w:eastAsia="zh-CN" w:bidi="ar"/>
        </w:rPr>
        <w:t>重点工作任务</w:t>
      </w:r>
      <w:r>
        <w:rPr>
          <w:rFonts w:hint="eastAsia" w:ascii="宋体" w:hAnsi="宋体" w:eastAsia="宋体" w:cs="宋体"/>
          <w:bCs/>
          <w:sz w:val="30"/>
          <w:szCs w:val="30"/>
          <w:lang w:eastAsia="zh-CN" w:bidi="ar"/>
        </w:rPr>
        <w:t>，</w:t>
      </w:r>
      <w:r>
        <w:rPr>
          <w:rFonts w:hint="eastAsia" w:ascii="宋体" w:hAnsi="宋体" w:eastAsia="宋体" w:cs="宋体"/>
          <w:bCs/>
          <w:kern w:val="2"/>
          <w:sz w:val="30"/>
          <w:szCs w:val="30"/>
          <w:lang w:val="en-US" w:eastAsia="zh-CN" w:bidi="ar"/>
        </w:rPr>
        <w:t>完成当年度就业创业和培训工作计划指标，按规定向政策扶持对象发放补贴补助，根据工作部署和实际需要，组织提供公共就业创业服务；阳医保通〔2024〕31号阳江市医疗保障局阳江市财政局国家税务总局阳江市税务局关于明确2025年度城乡居民基本医疗保险筹套资金资标准等问题的通知，切实做好城乡居民基本医疗保障有关工作。</w:t>
      </w:r>
    </w:p>
    <w:p w14:paraId="597FA03A">
      <w:pPr>
        <w:ind w:firstLine="520"/>
        <w:rPr>
          <w:rFonts w:ascii="仿宋_GB2312" w:hAnsi="仿宋_GB2312" w:cs="仿宋_GB2312"/>
          <w:bCs/>
          <w:sz w:val="26"/>
          <w:szCs w:val="26"/>
        </w:rPr>
      </w:pPr>
      <w:bookmarkStart w:id="7" w:name="_Toc8086"/>
      <w:bookmarkStart w:id="8" w:name="_Toc28424_WPSOffice_Level2"/>
      <w:r>
        <w:rPr>
          <w:rFonts w:hint="eastAsia"/>
          <w:b/>
        </w:rPr>
        <w:t>（三）</w:t>
      </w:r>
      <w:bookmarkEnd w:id="7"/>
      <w:bookmarkEnd w:id="8"/>
      <w:r>
        <w:rPr>
          <w:rFonts w:hint="eastAsia"/>
          <w:b/>
        </w:rPr>
        <w:t>部门整体支出情况。</w:t>
      </w:r>
    </w:p>
    <w:p w14:paraId="62E11C1A">
      <w:pPr>
        <w:ind w:firstLine="520"/>
        <w:rPr>
          <w:rFonts w:hint="eastAsia" w:ascii="宋体" w:hAnsi="宋体" w:eastAsia="宋体" w:cs="宋体"/>
          <w:bCs/>
          <w:sz w:val="30"/>
          <w:szCs w:val="30"/>
          <w:lang w:val="en-US" w:eastAsia="zh-CN" w:bidi="ar"/>
        </w:rPr>
      </w:pPr>
      <w:r>
        <w:rPr>
          <w:rFonts w:hint="eastAsia" w:ascii="宋体" w:hAnsi="宋体" w:eastAsia="宋体" w:cs="宋体"/>
          <w:bCs/>
          <w:sz w:val="30"/>
          <w:szCs w:val="30"/>
          <w:lang w:bidi="ar"/>
        </w:rPr>
        <w:t>2025年总收入8125.92万元，其中：财政拨款收入7846.81万元（包括基本支出1511.93万元，项目支出6334.88万元），非同级财政拨款收入275.49万元，利息预算收入3.62万元；2025年总支出7900.71万元，其中：基本支出1520.39万元，项目支出6380.32万元；上年结转5101.38万元（财政拨款结转5035.96万元、非财政拨款结转65.42万元），2025年上缴财政3.56万元，2025年底结转225.21万元2025年末累计结转5326.59万元（财政拨款结转5161.95万元、非财政拨款结转164.64。</w:t>
      </w:r>
      <w:r>
        <w:rPr>
          <w:rFonts w:hint="eastAsia" w:ascii="宋体" w:hAnsi="宋体" w:eastAsia="宋体" w:cs="宋体"/>
          <w:color w:val="auto"/>
          <w:sz w:val="30"/>
          <w:szCs w:val="30"/>
          <w:highlight w:val="none"/>
        </w:rPr>
        <w:t>2025年本部门财政拨款</w:t>
      </w:r>
      <w:r>
        <w:rPr>
          <w:rFonts w:hint="eastAsia" w:ascii="宋体" w:hAnsi="宋体" w:eastAsia="宋体" w:cs="宋体"/>
          <w:color w:val="auto"/>
          <w:sz w:val="30"/>
          <w:szCs w:val="30"/>
          <w:highlight w:val="none"/>
          <w:lang w:eastAsia="zh-CN"/>
        </w:rPr>
        <w:t>预算</w:t>
      </w:r>
      <w:r>
        <w:rPr>
          <w:rFonts w:hint="eastAsia" w:ascii="宋体" w:hAnsi="宋体" w:eastAsia="宋体" w:cs="宋体"/>
          <w:color w:val="auto"/>
          <w:sz w:val="30"/>
          <w:szCs w:val="30"/>
          <w:highlight w:val="none"/>
        </w:rPr>
        <w:t>安排“三公”经费11.49万元，</w:t>
      </w:r>
      <w:r>
        <w:rPr>
          <w:rFonts w:hint="eastAsia" w:ascii="宋体" w:hAnsi="宋体" w:eastAsia="宋体" w:cs="宋体"/>
          <w:color w:val="auto"/>
          <w:sz w:val="30"/>
          <w:szCs w:val="30"/>
          <w:highlight w:val="none"/>
          <w:lang w:eastAsia="zh-CN"/>
        </w:rPr>
        <w:t>决算支出8</w:t>
      </w:r>
      <w:r>
        <w:rPr>
          <w:rFonts w:hint="eastAsia" w:ascii="宋体" w:hAnsi="宋体" w:eastAsia="宋体" w:cs="宋体"/>
          <w:color w:val="auto"/>
          <w:sz w:val="30"/>
          <w:szCs w:val="30"/>
          <w:highlight w:val="none"/>
          <w:lang w:val="en-US" w:eastAsia="zh-CN"/>
        </w:rPr>
        <w:t>.08万元主要原因是认真贯彻落实中央八项规定精神和厉行节约的要求，从严控制三公经费开支，全年实际支出比预算有所节约。</w:t>
      </w:r>
    </w:p>
    <w:p w14:paraId="49919A9E">
      <w:pPr>
        <w:ind w:firstLine="520"/>
        <w:rPr>
          <w:b/>
        </w:rPr>
      </w:pPr>
      <w:r>
        <w:rPr>
          <w:rFonts w:hint="eastAsia"/>
          <w:b/>
        </w:rPr>
        <w:t>（四）部门整体支出绩效目标。</w:t>
      </w:r>
    </w:p>
    <w:p w14:paraId="2D52F17D">
      <w:pPr>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eastAsia" w:ascii="楷体_GB2312" w:hAnsi="楷体_GB2312" w:eastAsia="楷体_GB2312" w:cs="楷体_GB2312"/>
          <w:b/>
          <w:bCs/>
          <w:sz w:val="32"/>
          <w:szCs w:val="32"/>
        </w:rPr>
      </w:pPr>
      <w:bookmarkStart w:id="9" w:name="_Toc22180"/>
      <w:bookmarkStart w:id="10" w:name="_Toc4514_WPSOffice_Level1"/>
      <w:r>
        <w:rPr>
          <w:rFonts w:hint="eastAsia" w:ascii="楷体_GB2312" w:hAnsi="楷体_GB2312" w:eastAsia="楷体_GB2312" w:cs="楷体_GB2312"/>
          <w:b w:val="0"/>
          <w:bCs w:val="0"/>
          <w:color w:val="000000" w:themeColor="text1"/>
          <w:sz w:val="32"/>
          <w:szCs w:val="32"/>
          <w:highlight w:val="none"/>
          <w:lang w:val="en-US" w:eastAsia="zh-CN"/>
        </w:rPr>
        <w:t>（一）</w:t>
      </w:r>
      <w:r>
        <w:rPr>
          <w:rFonts w:hint="eastAsia" w:ascii="楷体_GB2312" w:hAnsi="楷体_GB2312" w:eastAsia="楷体_GB2312" w:cs="楷体_GB2312"/>
          <w:b w:val="0"/>
          <w:bCs w:val="0"/>
          <w:color w:val="000000" w:themeColor="text1"/>
          <w:sz w:val="32"/>
          <w:szCs w:val="32"/>
          <w:lang w:eastAsia="zh-CN"/>
        </w:rPr>
        <w:t>优化稳就业工作</w:t>
      </w:r>
      <w:r>
        <w:rPr>
          <w:rFonts w:hint="eastAsia" w:ascii="楷体_GB2312" w:hAnsi="楷体_GB2312" w:eastAsia="楷体_GB2312" w:cs="楷体_GB2312"/>
          <w:b w:val="0"/>
          <w:bCs w:val="0"/>
          <w:color w:val="000000" w:themeColor="text1"/>
          <w:sz w:val="32"/>
          <w:szCs w:val="32"/>
        </w:rPr>
        <w:t>，</w:t>
      </w:r>
      <w:r>
        <w:rPr>
          <w:rFonts w:hint="eastAsia" w:ascii="楷体_GB2312" w:hAnsi="楷体_GB2312" w:eastAsia="楷体_GB2312" w:cs="楷体_GB2312"/>
          <w:b w:val="0"/>
          <w:bCs w:val="0"/>
          <w:color w:val="000000" w:themeColor="text1"/>
          <w:sz w:val="32"/>
          <w:szCs w:val="32"/>
          <w:lang w:eastAsia="zh-CN"/>
        </w:rPr>
        <w:t>保持就业局势稳定</w:t>
      </w:r>
    </w:p>
    <w:p w14:paraId="79068B41">
      <w:pPr>
        <w:pageBreakBefore w:val="0"/>
        <w:widowControl w:val="0"/>
        <w:kinsoku/>
        <w:wordWrap/>
        <w:overflowPunct/>
        <w:topLinePunct w:val="0"/>
        <w:autoSpaceDE/>
        <w:autoSpaceDN/>
        <w:bidi w:val="0"/>
        <w:adjustRightInd/>
        <w:snapToGrid/>
        <w:spacing w:line="560" w:lineRule="exact"/>
        <w:ind w:firstLine="576" w:firstLineChars="200"/>
        <w:jc w:val="both"/>
        <w:textAlignment w:val="auto"/>
        <w:rPr>
          <w:rFonts w:hint="eastAsia" w:ascii="宋体" w:hAnsi="宋体" w:eastAsia="宋体" w:cs="宋体"/>
          <w:b w:val="0"/>
          <w:bCs w:val="0"/>
          <w:kern w:val="2"/>
          <w:sz w:val="30"/>
          <w:szCs w:val="30"/>
          <w:lang w:val="en-US" w:eastAsia="zh-CN" w:bidi="ar-SA"/>
        </w:rPr>
      </w:pPr>
      <w:r>
        <w:rPr>
          <w:rFonts w:hint="eastAsia" w:ascii="宋体" w:hAnsi="宋体" w:eastAsia="宋体" w:cs="宋体"/>
          <w:b w:val="0"/>
          <w:bCs w:val="0"/>
          <w:color w:val="000000"/>
          <w:sz w:val="30"/>
          <w:szCs w:val="30"/>
        </w:rPr>
        <w:t>一是</w:t>
      </w:r>
      <w:r>
        <w:rPr>
          <w:rFonts w:hint="eastAsia" w:ascii="宋体" w:hAnsi="宋体" w:eastAsia="宋体" w:cs="宋体"/>
          <w:b w:val="0"/>
          <w:bCs w:val="0"/>
          <w:sz w:val="30"/>
          <w:szCs w:val="30"/>
          <w:lang w:val="en-US" w:eastAsia="zh-CN"/>
        </w:rPr>
        <w:t>精准施策保就业。2025年促进城镇新增就业2272人，完成本年度目标任务的119.57%；城镇失业人员再就业1269人，完成本年度目标任务的126.9%；就业困难人员实现就业236人，完成本年度目标任务的138.82%；促进创业317人，完成本年度目标任务的105.6%，多项指标均超额完成上级下达目标任务。二是多措并举稳就业。2025年线上线下共举办各类招聘会73场，招聘企业504家次，岗位13167个次，达成意向2837人次。三是拓宽空间扩就业。2025年我县创业担保贷款共发放9笔1526万元，完成下达任务1400万元的109%。四是聚焦重点促就业。2025年共认定就业见习基地12个，开发就业见习岗位270个，完成下达任务的108%；已收到安置材料备案的见习生70人，完成任务100%；受理278名高校毕业生申请粤东西北就业补贴140.2万元，完成吸纳高校毕业生来阳稳定就业任务200人的139%。已服务2025年离校未就业高校毕业生790人，联系服务率100%。五是推进家门口就业服务。2025年我县新建成1个省级就业驿站，目前已正式进驻启用。</w:t>
      </w:r>
    </w:p>
    <w:p w14:paraId="356FCD42">
      <w:pPr>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eastAsia" w:ascii="仿宋_GB2312" w:hAnsi="仿宋_GB2312" w:eastAsia="仿宋_GB2312" w:cs="仿宋_GB2312"/>
          <w:b w:val="0"/>
          <w:bCs w:val="0"/>
          <w:color w:val="000000" w:themeColor="text1"/>
          <w:sz w:val="32"/>
          <w:szCs w:val="32"/>
          <w:highlight w:val="none"/>
          <w:lang w:val="en-US" w:eastAsia="zh-CN"/>
        </w:rPr>
      </w:pPr>
      <w:r>
        <w:rPr>
          <w:rFonts w:hint="eastAsia" w:ascii="楷体_GB2312" w:hAnsi="楷体_GB2312" w:eastAsia="楷体_GB2312" w:cs="楷体_GB2312"/>
          <w:b w:val="0"/>
          <w:bCs w:val="0"/>
          <w:color w:val="000000" w:themeColor="text1"/>
          <w:sz w:val="32"/>
          <w:szCs w:val="32"/>
          <w:highlight w:val="none"/>
          <w:lang w:val="en-US" w:eastAsia="zh-CN"/>
        </w:rPr>
        <w:t>（二）纵深推进三项工程，有效提升全民技能水平</w:t>
      </w:r>
    </w:p>
    <w:p w14:paraId="1B1ECCAB">
      <w:pPr>
        <w:keepNext w:val="0"/>
        <w:keepLines w:val="0"/>
        <w:pageBreakBefore w:val="0"/>
        <w:widowControl w:val="0"/>
        <w:kinsoku/>
        <w:wordWrap/>
        <w:overflowPunct/>
        <w:topLinePunct w:val="0"/>
        <w:autoSpaceDE/>
        <w:autoSpaceDN/>
        <w:bidi w:val="0"/>
        <w:adjustRightInd/>
        <w:snapToGrid/>
        <w:spacing w:line="580" w:lineRule="exact"/>
        <w:ind w:firstLine="576" w:firstLineChars="200"/>
        <w:jc w:val="both"/>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val="0"/>
          <w:bCs w:val="0"/>
          <w:sz w:val="30"/>
          <w:szCs w:val="30"/>
          <w:lang w:val="en-US" w:eastAsia="zh-CN"/>
        </w:rPr>
        <w:t>一是开展补贴性技能培训。2025年共开展补贴性技能培训2088人次，完成全年培训任务2000人次的104.40%。二是积极推动职业技能等级认定工作。2025年新增取得职业资格证书或职业等级证书754人次，完成全年任务的107.71%。三是继续落实职业技能提升补贴政策。由专人负责补贴审核发放业务，共审核通过职业技能提升补贴1034人次161.20万元。四是开展教育系统高级教师职称申报材料审核。2025年教师高中初级评审（认定）通过人数338人。</w:t>
      </w:r>
      <w:r>
        <w:rPr>
          <w:rFonts w:hint="eastAsia" w:ascii="宋体" w:hAnsi="宋体" w:eastAsia="宋体" w:cs="宋体"/>
          <w:b w:val="0"/>
          <w:bCs w:val="0"/>
          <w:color w:val="auto"/>
          <w:sz w:val="30"/>
          <w:szCs w:val="30"/>
          <w:highlight w:val="none"/>
          <w:lang w:val="en-US" w:eastAsia="zh-CN"/>
        </w:rPr>
        <w:t>五是积极做好非教育系统各企事业单位及个人的职称申报评审工作。六是完成乡村工匠职称申报材料审核和评审认定工作。2025年乡村工匠职称申报材料审核通过共14人。七是大力开展广东省博士工作站新设站申报宣传推荐和博士工作站建设工作。在我县永光刀剪集团有限公司、县人民医院、阳西县金源海洋生物科研有限公司、广东美味源香料股份有限公司和阳西县恒生水产养殖专业合作社、广东海珠子蚝业有限公司和广东厨邦食品有限公司已设立广东省博士工作站的基础上，省人社厅同意在阳江市华力服饰科技有限公司和广东汇味康生物科技有限公司设立“广东省博士工作站”，目前在我县设立的“广东省博士工作站”已达9家。</w:t>
      </w:r>
    </w:p>
    <w:p w14:paraId="18B2E8F7">
      <w:pPr>
        <w:pageBreakBefore w:val="0"/>
        <w:widowControl w:val="0"/>
        <w:kinsoku/>
        <w:overflowPunct/>
        <w:topLinePunct w:val="0"/>
        <w:autoSpaceDE/>
        <w:autoSpaceDN/>
        <w:bidi w:val="0"/>
        <w:adjustRightInd/>
        <w:snapToGrid/>
        <w:spacing w:line="560" w:lineRule="exact"/>
        <w:ind w:firstLine="616" w:firstLineChars="200"/>
        <w:textAlignment w:val="auto"/>
        <w:rPr>
          <w:rFonts w:hint="eastAsia" w:ascii="楷体_GB2312" w:hAnsi="楷体_GB2312" w:eastAsia="楷体_GB2312" w:cs="楷体_GB2312"/>
          <w:b w:val="0"/>
          <w:bCs/>
          <w:color w:val="000000" w:themeColor="text1"/>
          <w:sz w:val="32"/>
          <w:szCs w:val="32"/>
          <w:highlight w:val="none"/>
          <w:lang w:val="en-US" w:eastAsia="zh-CN"/>
        </w:rPr>
      </w:pPr>
      <w:r>
        <w:rPr>
          <w:rFonts w:hint="eastAsia" w:ascii="楷体_GB2312" w:hAnsi="楷体_GB2312" w:eastAsia="楷体_GB2312" w:cs="楷体_GB2312"/>
          <w:b w:val="0"/>
          <w:bCs w:val="0"/>
          <w:color w:val="000000" w:themeColor="text1"/>
          <w:sz w:val="32"/>
          <w:szCs w:val="32"/>
          <w:highlight w:val="none"/>
          <w:lang w:val="en-US" w:eastAsia="zh-CN"/>
        </w:rPr>
        <w:t>（三）</w:t>
      </w:r>
      <w:r>
        <w:rPr>
          <w:rFonts w:hint="eastAsia" w:ascii="楷体_GB2312" w:hAnsi="楷体_GB2312" w:eastAsia="楷体_GB2312" w:cs="楷体_GB2312"/>
          <w:b w:val="0"/>
          <w:bCs/>
          <w:color w:val="000000" w:themeColor="text1"/>
          <w:sz w:val="32"/>
          <w:szCs w:val="32"/>
          <w:highlight w:val="none"/>
          <w:lang w:val="en-US" w:eastAsia="zh-CN"/>
        </w:rPr>
        <w:t>加大人才引进力度，提升人才服务水平</w:t>
      </w:r>
    </w:p>
    <w:p w14:paraId="7771C493">
      <w:pPr>
        <w:pageBreakBefore w:val="0"/>
        <w:widowControl w:val="0"/>
        <w:numPr>
          <w:ilvl w:val="0"/>
          <w:numId w:val="0"/>
        </w:numPr>
        <w:kinsoku/>
        <w:topLinePunct w:val="0"/>
        <w:bidi w:val="0"/>
        <w:spacing w:line="560" w:lineRule="exact"/>
        <w:ind w:firstLine="576" w:firstLineChars="200"/>
        <w:textAlignment w:val="auto"/>
        <w:rPr>
          <w:rFonts w:hint="eastAsia" w:ascii="宋体" w:hAnsi="宋体" w:eastAsia="宋体" w:cs="宋体"/>
          <w:b w:val="0"/>
          <w:bCs w:val="0"/>
          <w:color w:val="auto"/>
          <w:kern w:val="2"/>
          <w:sz w:val="30"/>
          <w:szCs w:val="30"/>
          <w:lang w:val="en-US" w:eastAsia="zh-CN" w:bidi="ar-SA"/>
        </w:rPr>
      </w:pPr>
      <w:r>
        <w:rPr>
          <w:rFonts w:hint="eastAsia" w:ascii="宋体" w:hAnsi="宋体" w:eastAsia="宋体" w:cs="宋体"/>
          <w:b w:val="0"/>
          <w:bCs w:val="0"/>
          <w:kern w:val="2"/>
          <w:sz w:val="30"/>
          <w:szCs w:val="30"/>
          <w:lang w:val="en-US" w:eastAsia="zh-CN" w:bidi="ar-SA"/>
        </w:rPr>
        <w:t>一是</w:t>
      </w:r>
      <w:r>
        <w:rPr>
          <w:rFonts w:hint="eastAsia" w:ascii="宋体" w:hAnsi="宋体" w:eastAsia="宋体" w:cs="宋体"/>
          <w:b w:val="0"/>
          <w:bCs w:val="0"/>
          <w:sz w:val="30"/>
          <w:szCs w:val="30"/>
          <w:lang w:val="en-US" w:eastAsia="zh-CN"/>
        </w:rPr>
        <w:t>做好事业单位公开招聘高校毕业生工作。参加省事业单位2025年集中公开招聘，设置125个岗位招计划招聘169人，实际聘用86名高校毕业生。会同县教育局定点公开招聘教师85名。</w:t>
      </w:r>
      <w:r>
        <w:rPr>
          <w:rFonts w:hint="eastAsia" w:ascii="宋体" w:hAnsi="宋体" w:eastAsia="宋体" w:cs="宋体"/>
          <w:b w:val="0"/>
          <w:bCs w:val="0"/>
          <w:kern w:val="2"/>
          <w:sz w:val="30"/>
          <w:szCs w:val="30"/>
          <w:lang w:val="en-US" w:eastAsia="zh-CN" w:bidi="ar-SA"/>
        </w:rPr>
        <w:t>二是</w:t>
      </w:r>
      <w:r>
        <w:rPr>
          <w:rFonts w:hint="eastAsia" w:ascii="宋体" w:hAnsi="宋体" w:eastAsia="宋体" w:cs="宋体"/>
          <w:b w:val="0"/>
          <w:bCs w:val="0"/>
          <w:sz w:val="30"/>
          <w:szCs w:val="30"/>
          <w:lang w:val="en-US" w:eastAsia="zh-CN"/>
        </w:rPr>
        <w:t>加强高层次人才引进。结合我县事业单位高层次人才需求，由县委组织部统筹，按人才引进有关政策规定，制定符合我县实际的引才方案并组织实施。2025年组织县内重点企事业单位参加在粤港澳大湾区（广东）人才港举办的招才引智活动。赴广西大学、广西中医药大学瑞康临床医学院、广西师范大学开展现场引才活动以及阳西县人才驿站开展下半年招才引智工作。共吸引100 名高校毕业生参加面试，已聘用27名高层次和急需紧缺人才。</w:t>
      </w:r>
      <w:r>
        <w:rPr>
          <w:rFonts w:hint="eastAsia" w:ascii="宋体" w:hAnsi="宋体" w:eastAsia="宋体" w:cs="宋体"/>
          <w:b w:val="0"/>
          <w:bCs w:val="0"/>
          <w:kern w:val="2"/>
          <w:sz w:val="30"/>
          <w:szCs w:val="30"/>
          <w:lang w:val="en-US" w:eastAsia="zh-CN" w:bidi="ar-SA"/>
        </w:rPr>
        <w:t>三是</w:t>
      </w:r>
      <w:r>
        <w:rPr>
          <w:rFonts w:hint="eastAsia" w:ascii="宋体" w:hAnsi="宋体" w:eastAsia="宋体" w:cs="宋体"/>
          <w:b w:val="0"/>
          <w:bCs w:val="0"/>
          <w:sz w:val="30"/>
          <w:szCs w:val="30"/>
          <w:lang w:val="en-US" w:eastAsia="zh-CN"/>
        </w:rPr>
        <w:t>扎实推进“三支一扶”计划。精准落实招募计划安排，加强“三支一扶”人员选拔招募和服务管理，积极引导高校毕业生生向基层发展。根据省2025年高校毕业生“三支一扶”岗位征集工作计划，我县已完成招募24名高校毕业生到基层从事“三支一扶”工作。</w:t>
      </w:r>
      <w:r>
        <w:rPr>
          <w:rFonts w:hint="eastAsia" w:ascii="宋体" w:hAnsi="宋体" w:eastAsia="宋体" w:cs="宋体"/>
          <w:b w:val="0"/>
          <w:bCs w:val="0"/>
          <w:kern w:val="2"/>
          <w:sz w:val="30"/>
          <w:szCs w:val="30"/>
          <w:lang w:val="en-US" w:eastAsia="zh-CN" w:bidi="ar-SA"/>
        </w:rPr>
        <w:t>四是</w:t>
      </w:r>
      <w:r>
        <w:rPr>
          <w:rFonts w:hint="eastAsia" w:ascii="宋体" w:hAnsi="宋体" w:eastAsia="宋体" w:cs="宋体"/>
          <w:b w:val="0"/>
          <w:bCs w:val="0"/>
          <w:sz w:val="30"/>
          <w:szCs w:val="30"/>
          <w:lang w:val="en-US" w:eastAsia="zh-CN"/>
        </w:rPr>
        <w:t>做好人才服务保障，落实人才待遇。2025年受理25名人才市高层次人才的申请，7名人才县高层次人才的申请；受理23名高层次人才县人才补贴申请共92.22万元，为17名高层次人才申请市人才补贴共58万元；通过31名高层次人才入住人才公寓的申请；为2名高层次人才办理免费停车。</w:t>
      </w:r>
      <w:r>
        <w:rPr>
          <w:rFonts w:hint="eastAsia" w:ascii="宋体" w:hAnsi="宋体" w:eastAsia="宋体" w:cs="宋体"/>
          <w:b w:val="0"/>
          <w:bCs w:val="0"/>
          <w:kern w:val="2"/>
          <w:sz w:val="30"/>
          <w:szCs w:val="30"/>
          <w:lang w:val="en-US" w:eastAsia="zh-CN" w:bidi="ar-SA"/>
        </w:rPr>
        <w:t>五是</w:t>
      </w:r>
      <w:r>
        <w:rPr>
          <w:rFonts w:hint="eastAsia" w:ascii="宋体" w:hAnsi="宋体" w:eastAsia="宋体" w:cs="宋体"/>
          <w:b w:val="0"/>
          <w:bCs w:val="0"/>
          <w:sz w:val="30"/>
          <w:szCs w:val="30"/>
          <w:lang w:val="en-US" w:eastAsia="zh-CN"/>
        </w:rPr>
        <w:t>落实事业单位管理岗位职级晋升工作。为贯彻落实《中共中央办公厅 国务院办公厅印发〈关于县以下事业单位建立管理岗位职员等级晋升制度的意见〉的通知》（中办发〔2021〕29号）的精神以及中央关于职员等级晋升制度有关工作的部署要求，根据工作计划及用人单位申报，审批8名事业单位工作人员晋升九级职员。</w:t>
      </w:r>
      <w:r>
        <w:rPr>
          <w:rFonts w:hint="eastAsia" w:ascii="宋体" w:hAnsi="宋体" w:eastAsia="宋体" w:cs="宋体"/>
          <w:b w:val="0"/>
          <w:bCs w:val="0"/>
          <w:kern w:val="2"/>
          <w:sz w:val="30"/>
          <w:szCs w:val="30"/>
          <w:lang w:val="en-US" w:eastAsia="zh-CN" w:bidi="ar-SA"/>
        </w:rPr>
        <w:t>六是</w:t>
      </w:r>
      <w:r>
        <w:rPr>
          <w:rFonts w:hint="eastAsia" w:ascii="宋体" w:hAnsi="宋体" w:eastAsia="宋体" w:cs="宋体"/>
          <w:b w:val="0"/>
          <w:bCs w:val="0"/>
          <w:sz w:val="30"/>
          <w:szCs w:val="30"/>
          <w:lang w:val="en-US" w:eastAsia="zh-CN"/>
        </w:rPr>
        <w:t>做好订单定向生入职手续工作。为了做好阳西县卫生健康系统2025年订单定向医学毕业生安置工作，根据《广东省卫生健康委员会 广东省教育厅 广东省人力资源和社会保障厅 广东省中医药局关于做好2025年订单定向培养医学大学生项目工作的通知》（粤卫科教函〔2025〕5 号）的文件要求，会同县卫生健康局做好2025年订单定向生安置就业工作，拟安置16名订单定向高校毕业生。</w:t>
      </w:r>
    </w:p>
    <w:p w14:paraId="71048343">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jc w:val="both"/>
        <w:textAlignment w:val="auto"/>
        <w:rPr>
          <w:rFonts w:hint="eastAsia" w:ascii="楷体_GB2312" w:hAnsi="楷体_GB2312" w:eastAsia="楷体_GB2312" w:cs="楷体_GB2312"/>
          <w:color w:val="000000" w:themeColor="text1"/>
          <w:sz w:val="32"/>
          <w:szCs w:val="32"/>
        </w:rPr>
      </w:pPr>
      <w:r>
        <w:rPr>
          <w:rFonts w:hint="eastAsia" w:ascii="楷体_GB2312" w:hAnsi="楷体_GB2312" w:eastAsia="楷体_GB2312" w:cs="楷体_GB2312"/>
          <w:b w:val="0"/>
          <w:bCs w:val="0"/>
          <w:color w:val="000000" w:themeColor="text1"/>
          <w:sz w:val="32"/>
          <w:szCs w:val="32"/>
          <w:highlight w:val="none"/>
          <w:lang w:val="en-US" w:eastAsia="zh-CN"/>
        </w:rPr>
        <w:t>（四）完善健全社保机制，织密织牢民生保障网</w:t>
      </w:r>
    </w:p>
    <w:p w14:paraId="7DED95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76"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宋体" w:hAnsi="宋体" w:eastAsia="宋体" w:cs="宋体"/>
          <w:b w:val="0"/>
          <w:bCs w:val="0"/>
          <w:sz w:val="30"/>
          <w:szCs w:val="30"/>
          <w:lang w:eastAsia="zh-CN"/>
        </w:rPr>
        <w:t>一是全力推进社会养老保险扩面征缴工作。会同有关部门对城乡居民社会养老保险工作及企业职工</w:t>
      </w:r>
      <w:r>
        <w:rPr>
          <w:rFonts w:hint="eastAsia" w:ascii="宋体" w:hAnsi="宋体" w:eastAsia="宋体" w:cs="宋体"/>
          <w:b w:val="0"/>
          <w:bCs w:val="0"/>
          <w:sz w:val="30"/>
          <w:szCs w:val="30"/>
          <w:lang w:val="en-US" w:eastAsia="zh-CN"/>
        </w:rPr>
        <w:t>基本</w:t>
      </w:r>
      <w:r>
        <w:rPr>
          <w:rFonts w:hint="eastAsia" w:ascii="宋体" w:hAnsi="宋体" w:eastAsia="宋体" w:cs="宋体"/>
          <w:b w:val="0"/>
          <w:bCs w:val="0"/>
          <w:sz w:val="30"/>
          <w:szCs w:val="30"/>
          <w:lang w:eastAsia="zh-CN"/>
        </w:rPr>
        <w:t>养老保险扩面征缴工作进行政策宣传发动和督导检查。全力推进社会养老保险扩面征缴工作。</w:t>
      </w:r>
      <w:r>
        <w:rPr>
          <w:rFonts w:hint="eastAsia" w:ascii="宋体" w:hAnsi="宋体" w:eastAsia="宋体" w:cs="宋体"/>
          <w:b w:val="0"/>
          <w:bCs w:val="0"/>
          <w:sz w:val="30"/>
          <w:szCs w:val="30"/>
          <w:lang w:val="en-US" w:eastAsia="zh-CN"/>
        </w:rPr>
        <w:t>2025年</w:t>
      </w:r>
      <w:r>
        <w:rPr>
          <w:rFonts w:hint="eastAsia" w:ascii="宋体" w:hAnsi="宋体" w:eastAsia="宋体" w:cs="宋体"/>
          <w:b w:val="0"/>
          <w:bCs w:val="0"/>
          <w:sz w:val="30"/>
          <w:szCs w:val="30"/>
          <w:lang w:eastAsia="zh-CN"/>
        </w:rPr>
        <w:t>基本养老保险参保311059人，完成任务98.92%，其中：城镇职工养老保险参保52903人、完成任务101.35%（企业职工养老保险参保29855人、完成任务100.52%），失业保险参保20929人、完成任务99.76%。二是全力推进工伤保险参保扩面征缴工作。工伤保险参保人数42894人，完成市下达任务的106.73%。</w:t>
      </w:r>
      <w:r>
        <w:rPr>
          <w:rFonts w:hint="eastAsia" w:ascii="宋体" w:hAnsi="宋体" w:eastAsia="宋体" w:cs="宋体"/>
          <w:b w:val="0"/>
          <w:bCs w:val="0"/>
          <w:sz w:val="30"/>
          <w:szCs w:val="30"/>
          <w:lang w:val="en-US" w:eastAsia="zh-CN"/>
        </w:rPr>
        <w:t>三是全力推进医疗保险参保扩面征缴工作。2025年城镇职工基本医疗保险参保38012人（生育保险参保29890人），城乡居民基本医疗保险参保422372人，完成率为97.70%。资助困难人群参加2025年城乡居民医保19025人，困难人群参保率100%；医疗救助74048人次，医疗救助总金额为1532.85万元。</w:t>
      </w:r>
    </w:p>
    <w:p w14:paraId="7E9CF3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jc w:val="both"/>
        <w:textAlignment w:val="auto"/>
        <w:rPr>
          <w:rFonts w:hint="eastAsia" w:ascii="楷体_GB2312" w:hAnsi="楷体_GB2312" w:eastAsia="楷体_GB2312" w:cs="楷体_GB2312"/>
          <w:b w:val="0"/>
          <w:bCs/>
          <w:color w:val="000000" w:themeColor="text1"/>
          <w:sz w:val="32"/>
          <w:szCs w:val="32"/>
          <w:highlight w:val="none"/>
          <w:lang w:val="en-US" w:eastAsia="zh-CN"/>
        </w:rPr>
      </w:pPr>
      <w:r>
        <w:rPr>
          <w:rFonts w:hint="eastAsia" w:ascii="楷体_GB2312" w:hAnsi="楷体_GB2312" w:eastAsia="楷体_GB2312" w:cs="楷体_GB2312"/>
          <w:b w:val="0"/>
          <w:bCs/>
          <w:color w:val="000000" w:themeColor="text1"/>
          <w:sz w:val="32"/>
          <w:szCs w:val="32"/>
          <w:highlight w:val="none"/>
          <w:lang w:val="en-US" w:eastAsia="zh-CN"/>
        </w:rPr>
        <w:t>（五）查处定点医药机构违规行为，加大力度打击欺诈骗保</w:t>
      </w:r>
    </w:p>
    <w:p w14:paraId="0CECED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76" w:firstLineChars="200"/>
        <w:jc w:val="both"/>
        <w:textAlignment w:val="auto"/>
        <w:rPr>
          <w:rFonts w:hint="eastAsia"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深入贯彻落实国家、省、市关于医保基金管理突出问题专项整治工作，坚决管好用好医保基金。目前，我县共有14家定点医疗机构和85家定点零售药店。2025年共检查14家定点医疗机构和74家定点零售药店，发现违规使用医保基金金额378.89万元，累计追回定点医药机构违法违规使用医保基金金额273.54万元。对县内12家定点医药机构处违约金共61.08万元，对1家定点医疗机构责任医师作中止协议一个月处理，对7家定点零售药店作中止协议三个月处理，对1家定点零售药店作中止协议3个月处理，对1家定点零售药店解除协议处理；对2024年度交叉检查和县级全覆盖检查中的11家定点医疗机构立案调查，并作出行政处罚罚款125.83万元。县内14家定点医疗机构和14家定点零售药店自查自纠查出违规金额78.16万元，目前共退回违规金额78.16万元。</w:t>
      </w:r>
    </w:p>
    <w:p w14:paraId="640045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jc w:val="both"/>
        <w:textAlignment w:val="auto"/>
        <w:rPr>
          <w:rFonts w:hint="eastAsia" w:ascii="楷体_GB2312" w:hAnsi="楷体_GB2312" w:eastAsia="楷体_GB2312" w:cs="楷体_GB2312"/>
          <w:sz w:val="32"/>
          <w:szCs w:val="40"/>
          <w:lang w:val="en-US" w:eastAsia="zh-CN"/>
        </w:rPr>
      </w:pPr>
      <w:r>
        <w:rPr>
          <w:rFonts w:hint="eastAsia" w:ascii="楷体" w:hAnsi="楷体" w:eastAsia="楷体"/>
          <w:sz w:val="32"/>
          <w:szCs w:val="32"/>
          <w:lang w:eastAsia="zh-CN"/>
        </w:rPr>
        <w:t>（</w:t>
      </w:r>
      <w:r>
        <w:rPr>
          <w:rFonts w:hint="eastAsia" w:ascii="楷体" w:hAnsi="楷体" w:eastAsia="楷体"/>
          <w:sz w:val="32"/>
          <w:szCs w:val="32"/>
          <w:lang w:val="en-US" w:eastAsia="zh-CN"/>
        </w:rPr>
        <w:t>六</w:t>
      </w:r>
      <w:r>
        <w:rPr>
          <w:rFonts w:hint="eastAsia" w:ascii="楷体" w:hAnsi="楷体" w:eastAsia="楷体"/>
          <w:sz w:val="32"/>
          <w:szCs w:val="32"/>
          <w:lang w:eastAsia="zh-CN"/>
        </w:rPr>
        <w:t>）</w:t>
      </w:r>
      <w:r>
        <w:rPr>
          <w:rFonts w:hint="eastAsia" w:ascii="楷体_GB2312" w:hAnsi="楷体_GB2312" w:eastAsia="楷体_GB2312" w:cs="楷体_GB2312"/>
          <w:sz w:val="32"/>
          <w:szCs w:val="40"/>
          <w:lang w:val="en-US" w:eastAsia="zh-CN"/>
        </w:rPr>
        <w:t>持续深入推进医保支付方式改革，提高基金拨付效率</w:t>
      </w:r>
    </w:p>
    <w:p w14:paraId="063E67D1">
      <w:pPr>
        <w:keepNext w:val="0"/>
        <w:keepLines w:val="0"/>
        <w:pageBreakBefore w:val="0"/>
        <w:widowControl w:val="0"/>
        <w:kinsoku/>
        <w:wordWrap/>
        <w:overflowPunct/>
        <w:topLinePunct w:val="0"/>
        <w:autoSpaceDE/>
        <w:autoSpaceDN/>
        <w:bidi w:val="0"/>
        <w:adjustRightInd/>
        <w:snapToGrid/>
        <w:spacing w:line="560" w:lineRule="exact"/>
        <w:ind w:firstLine="576" w:firstLineChars="200"/>
        <w:textAlignment w:val="auto"/>
        <w:rPr>
          <w:rFonts w:hint="eastAsia"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一是按时预拨。继续按照基本医疗保险基金“以收定支、略有结余”的原则，实行“总额付费、结余留用、合理超支分担”的医保支付方式，按月将月均总额的80%统一预付给阳西医共体。2025年累计预拨9581.41万元，其中职工医保4121.97万元，城乡居民医保5459.45万元；二是优化基金结算清单上传、智能审核等流程，提高即时结算效率。2025年普通门诊支出676.30万元，其中城乡居民医保625.08万元，职工医保51.22万元；门诊特定病种支出3152.55万元，其中城乡居民医保2704.02万元，职工医保448.53万元；门诊诊查费支出27.72万元，其中城乡居民医保22.03万元，职工医保5.69万元；家庭医生签约服务统筹支出275.29万元，其中城乡居民医保274.58万元，职工医保0.71万元；三是做好职工医保个账注资工作，2025年个人账户共注资4116.34万元，其中基本医疗注资4037.45万元，公务员补助注资78.89万元。</w:t>
      </w:r>
    </w:p>
    <w:p w14:paraId="3CF4E1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jc w:val="both"/>
        <w:textAlignment w:val="auto"/>
        <w:rPr>
          <w:rFonts w:hint="eastAsia" w:ascii="楷体_GB2312" w:hAnsi="楷体_GB2312" w:eastAsia="楷体_GB2312" w:cs="楷体_GB2312"/>
          <w:b w:val="0"/>
          <w:bCs/>
          <w:color w:val="000000" w:themeColor="text1"/>
          <w:sz w:val="32"/>
          <w:szCs w:val="32"/>
          <w:highlight w:val="none"/>
        </w:rPr>
      </w:pPr>
      <w:r>
        <w:rPr>
          <w:rFonts w:hint="eastAsia" w:ascii="楷体_GB2312" w:hAnsi="楷体_GB2312" w:eastAsia="楷体_GB2312" w:cs="楷体_GB2312"/>
          <w:b w:val="0"/>
          <w:bCs/>
          <w:color w:val="000000" w:themeColor="text1"/>
          <w:sz w:val="32"/>
          <w:szCs w:val="32"/>
          <w:highlight w:val="none"/>
          <w:lang w:eastAsia="zh-CN"/>
        </w:rPr>
        <w:t>（</w:t>
      </w:r>
      <w:r>
        <w:rPr>
          <w:rFonts w:hint="eastAsia" w:ascii="楷体_GB2312" w:hAnsi="楷体_GB2312" w:eastAsia="楷体_GB2312" w:cs="楷体_GB2312"/>
          <w:b w:val="0"/>
          <w:bCs/>
          <w:color w:val="000000" w:themeColor="text1"/>
          <w:sz w:val="32"/>
          <w:szCs w:val="32"/>
          <w:highlight w:val="none"/>
          <w:lang w:val="en-US" w:eastAsia="zh-CN"/>
        </w:rPr>
        <w:t>七）</w:t>
      </w:r>
      <w:r>
        <w:rPr>
          <w:rFonts w:hint="eastAsia" w:ascii="楷体_GB2312" w:hAnsi="楷体_GB2312" w:eastAsia="楷体_GB2312" w:cs="楷体_GB2312"/>
          <w:b w:val="0"/>
          <w:bCs/>
          <w:color w:val="000000" w:themeColor="text1"/>
          <w:sz w:val="32"/>
          <w:szCs w:val="32"/>
          <w:highlight w:val="none"/>
        </w:rPr>
        <w:t>保障劳动合法权益，构建和谐劳动关系</w:t>
      </w:r>
    </w:p>
    <w:p w14:paraId="084CB5B6">
      <w:pPr>
        <w:pageBreakBefore w:val="0"/>
        <w:widowControl w:val="0"/>
        <w:kinsoku/>
        <w:overflowPunct/>
        <w:topLinePunct w:val="0"/>
        <w:autoSpaceDE/>
        <w:autoSpaceDN/>
        <w:bidi w:val="0"/>
        <w:adjustRightInd/>
        <w:snapToGrid/>
        <w:spacing w:line="560" w:lineRule="exact"/>
        <w:ind w:firstLine="576" w:firstLineChars="200"/>
        <w:textAlignment w:val="auto"/>
        <w:rPr>
          <w:rFonts w:hint="eastAsia" w:ascii="宋体" w:hAnsi="宋体" w:eastAsia="宋体" w:cs="宋体"/>
          <w:b w:val="0"/>
          <w:bCs w:val="0"/>
          <w:kern w:val="2"/>
          <w:sz w:val="30"/>
          <w:szCs w:val="30"/>
          <w:lang w:val="en-US" w:eastAsia="zh-CN" w:bidi="ar-SA"/>
        </w:rPr>
      </w:pPr>
      <w:r>
        <w:rPr>
          <w:rFonts w:hint="eastAsia" w:ascii="宋体" w:hAnsi="宋体" w:eastAsia="宋体" w:cs="宋体"/>
          <w:b w:val="0"/>
          <w:bCs w:val="0"/>
          <w:kern w:val="2"/>
          <w:sz w:val="30"/>
          <w:szCs w:val="30"/>
          <w:lang w:val="en-US" w:eastAsia="zh-CN" w:bidi="ar-SA"/>
        </w:rPr>
        <w:t>全力抓好劳资纠纷预防化解工作。一是加大劳动监察执法力度，依法处理劳动保障举报投诉案件。2025年县人社局共检查用人单位53户次，涉及劳动者4880人；接受投诉案件63宗，涉及人数421人，涉及金额969.9733万元，与去年相比下降41.20 ％，其中建筑类占71.42 ％，为155名劳动者追回劳动报酬490.7302万元；另排查政府、国企业项目欠薪案件11件，共涉及人数1220人，涉及金额185.4266万元，其中经调解后追回金额1431.7593万元，涉及人数1215人。移送公安机关涉嫌拒不支付劳动报酬案4宗，其中立案2宗（1宗移送后部分人员的工资已解决，1宗已撤案），2宗未受理；报警突发处置案件196宗；接收信访维稳中心转办、书记信箱、信访网、全国根治欠薪线索反映平台等线上投诉件1957件（与去年相比升8.29% ）其中全国根治欠薪线索反映平台接收533宗，12345平台等1301宗，信访系统53宗，上级转办案件70宗。二是依法公正办理工伤认定案件。2025年共收到工伤认定申请188宗，其中受理164宗，不予受理0宗，撤销申请10宗（其中有1宗案件为受理后申请撤销），已认定148宗，不认定6宗，职业伤害22宗。行政复议和行政诉讼案共9件，其中行政复议案件3件，行政诉讼案件6件。严格按照《广东省工伤保险条例》有关规定，认真受理工伤案件，为群众维权。三是高质量完成劳动仲裁调解工作。2025年共收到仲裁申请案件199宗，其中受理仲裁案件144宗，已裁决结案45宗，已调解结案80宗，涉案人数262人，正在审理案件19宗；不予受理案件55宗。所有受理的仲裁案件均会按照法律规定审理结案，有效维护了当事人的合法权益，为稳步推动我县劳动关系和谐稳定保驾护航。</w:t>
      </w:r>
    </w:p>
    <w:p w14:paraId="1BD514D3">
      <w:pPr>
        <w:ind w:firstLine="616" w:firstLineChars="200"/>
        <w:rPr>
          <w:rFonts w:ascii="方正小标宋简体" w:eastAsia="方正小标宋简体"/>
        </w:rPr>
      </w:pPr>
      <w:r>
        <w:rPr>
          <w:rFonts w:hint="eastAsia" w:ascii="方正小标宋简体" w:eastAsia="方正小标宋简体"/>
        </w:rPr>
        <w:t>二、绩效自评结论</w:t>
      </w:r>
      <w:bookmarkEnd w:id="9"/>
      <w:bookmarkEnd w:id="10"/>
    </w:p>
    <w:p w14:paraId="6ED381BA">
      <w:pPr>
        <w:ind w:firstLine="576" w:firstLineChars="200"/>
        <w:rPr>
          <w:rFonts w:hint="eastAsia" w:ascii="宋体" w:hAnsi="宋体" w:eastAsia="宋体" w:cs="宋体"/>
          <w:sz w:val="30"/>
          <w:szCs w:val="30"/>
        </w:rPr>
      </w:pPr>
      <w:bookmarkStart w:id="11" w:name="_Toc2998_WPSOffice_Level1"/>
      <w:bookmarkStart w:id="12" w:name="_Toc2072"/>
      <w:bookmarkStart w:id="13" w:name="_Toc18975"/>
      <w:r>
        <w:rPr>
          <w:rFonts w:hint="eastAsia" w:ascii="宋体" w:hAnsi="宋体" w:eastAsia="宋体" w:cs="宋体"/>
          <w:sz w:val="30"/>
          <w:szCs w:val="30"/>
        </w:rPr>
        <w:t>202</w:t>
      </w:r>
      <w:r>
        <w:rPr>
          <w:rFonts w:hint="eastAsia" w:ascii="宋体" w:hAnsi="宋体" w:eastAsia="宋体" w:cs="宋体"/>
          <w:sz w:val="30"/>
          <w:szCs w:val="30"/>
          <w:lang w:val="en-US" w:eastAsia="zh-CN"/>
        </w:rPr>
        <w:t>5</w:t>
      </w:r>
      <w:r>
        <w:rPr>
          <w:rFonts w:hint="eastAsia" w:ascii="宋体" w:hAnsi="宋体" w:eastAsia="宋体" w:cs="宋体"/>
          <w:sz w:val="30"/>
          <w:szCs w:val="30"/>
        </w:rPr>
        <w:t>年度，阳西县人力资源和社会保障局整体支出绩效自评得分</w:t>
      </w:r>
      <w:r>
        <w:rPr>
          <w:rFonts w:hint="eastAsia" w:ascii="宋体" w:hAnsi="宋体" w:eastAsia="宋体" w:cs="宋体"/>
          <w:sz w:val="30"/>
          <w:szCs w:val="30"/>
          <w:lang w:val="en-US" w:eastAsia="zh-CN"/>
        </w:rPr>
        <w:t>100</w:t>
      </w:r>
      <w:r>
        <w:rPr>
          <w:rFonts w:hint="eastAsia" w:ascii="宋体" w:hAnsi="宋体" w:eastAsia="宋体" w:cs="宋体"/>
          <w:sz w:val="30"/>
          <w:szCs w:val="30"/>
        </w:rPr>
        <w:t>分（满分100分），等级为“优”。部门履职经济性、效率性、效果性和公平性总体良好，预算编制规范，执行有效，重点任务完成率达100%，资金使用效益显著，公众满意度高。具体自评得分如下：</w:t>
      </w:r>
    </w:p>
    <w:p w14:paraId="517EB03B">
      <w:pPr>
        <w:ind w:firstLine="576" w:firstLineChars="200"/>
        <w:rPr>
          <w:rFonts w:hint="eastAsia" w:ascii="宋体" w:hAnsi="宋体" w:eastAsia="宋体" w:cs="宋体"/>
          <w:sz w:val="30"/>
          <w:szCs w:val="30"/>
        </w:rPr>
      </w:pPr>
      <w:r>
        <w:rPr>
          <w:rFonts w:hint="eastAsia" w:ascii="宋体" w:hAnsi="宋体" w:eastAsia="宋体" w:cs="宋体"/>
          <w:sz w:val="30"/>
          <w:szCs w:val="30"/>
        </w:rPr>
        <w:t>预算编制情况：20分（满分20分）；</w:t>
      </w:r>
    </w:p>
    <w:p w14:paraId="6F110B3A">
      <w:pPr>
        <w:ind w:firstLine="576" w:firstLineChars="200"/>
        <w:rPr>
          <w:rFonts w:hint="eastAsia" w:ascii="宋体" w:hAnsi="宋体" w:eastAsia="宋体" w:cs="宋体"/>
          <w:sz w:val="30"/>
          <w:szCs w:val="30"/>
        </w:rPr>
      </w:pPr>
      <w:r>
        <w:rPr>
          <w:rFonts w:hint="eastAsia" w:ascii="宋体" w:hAnsi="宋体" w:eastAsia="宋体" w:cs="宋体"/>
          <w:sz w:val="30"/>
          <w:szCs w:val="30"/>
        </w:rPr>
        <w:t>预算执行情况：40分（满分40分）；</w:t>
      </w:r>
    </w:p>
    <w:p w14:paraId="2EBCD12E">
      <w:pPr>
        <w:ind w:firstLine="576" w:firstLineChars="200"/>
        <w:rPr>
          <w:rFonts w:hint="eastAsia" w:ascii="宋体" w:hAnsi="宋体" w:eastAsia="宋体" w:cs="宋体"/>
          <w:sz w:val="30"/>
          <w:szCs w:val="30"/>
        </w:rPr>
      </w:pPr>
      <w:r>
        <w:rPr>
          <w:rFonts w:hint="eastAsia" w:ascii="宋体" w:hAnsi="宋体" w:eastAsia="宋体" w:cs="宋体"/>
          <w:sz w:val="30"/>
          <w:szCs w:val="30"/>
        </w:rPr>
        <w:t>资金使用效益：</w:t>
      </w:r>
      <w:r>
        <w:rPr>
          <w:rFonts w:hint="eastAsia" w:ascii="宋体" w:hAnsi="宋体" w:eastAsia="宋体" w:cs="宋体"/>
          <w:sz w:val="30"/>
          <w:szCs w:val="30"/>
          <w:lang w:val="en-US" w:eastAsia="zh-CN"/>
        </w:rPr>
        <w:t>40</w:t>
      </w:r>
      <w:r>
        <w:rPr>
          <w:rFonts w:hint="eastAsia" w:ascii="宋体" w:hAnsi="宋体" w:eastAsia="宋体" w:cs="宋体"/>
          <w:sz w:val="30"/>
          <w:szCs w:val="30"/>
        </w:rPr>
        <w:t>分（满分40分）。</w:t>
      </w:r>
    </w:p>
    <w:p w14:paraId="7EA7F1F9">
      <w:pPr>
        <w:ind w:firstLine="576" w:firstLineChars="200"/>
        <w:rPr>
          <w:rFonts w:hint="eastAsia" w:ascii="宋体" w:hAnsi="宋体" w:eastAsia="宋体" w:cs="宋体"/>
          <w:sz w:val="30"/>
          <w:szCs w:val="30"/>
        </w:rPr>
      </w:pPr>
      <w:r>
        <w:rPr>
          <w:rFonts w:hint="eastAsia" w:ascii="宋体" w:hAnsi="宋体" w:eastAsia="宋体" w:cs="宋体"/>
          <w:sz w:val="30"/>
          <w:szCs w:val="30"/>
        </w:rPr>
        <w:t>三、绩效自评分析</w:t>
      </w:r>
      <w:bookmarkEnd w:id="11"/>
      <w:bookmarkEnd w:id="12"/>
    </w:p>
    <w:p w14:paraId="181EDB80">
      <w:pPr>
        <w:ind w:firstLine="576" w:firstLineChars="200"/>
        <w:rPr>
          <w:rFonts w:hint="eastAsia" w:ascii="宋体" w:hAnsi="宋体" w:eastAsia="宋体" w:cs="宋体"/>
          <w:sz w:val="30"/>
          <w:szCs w:val="30"/>
        </w:rPr>
      </w:pPr>
      <w:bookmarkStart w:id="14" w:name="_Toc26765_WPSOffice_Level3"/>
      <w:bookmarkStart w:id="15" w:name="_Toc22677"/>
      <w:bookmarkStart w:id="16" w:name="_Toc27392_WPSOffice_Level2"/>
      <w:bookmarkStart w:id="17" w:name="_Toc19924"/>
      <w:r>
        <w:rPr>
          <w:rFonts w:hint="eastAsia" w:ascii="宋体" w:hAnsi="宋体" w:eastAsia="宋体" w:cs="宋体"/>
          <w:sz w:val="30"/>
          <w:szCs w:val="30"/>
        </w:rPr>
        <w:t>（一）预算编制情况</w:t>
      </w:r>
      <w:bookmarkEnd w:id="14"/>
      <w:bookmarkEnd w:id="15"/>
      <w:bookmarkEnd w:id="16"/>
      <w:bookmarkEnd w:id="17"/>
      <w:r>
        <w:rPr>
          <w:rFonts w:hint="eastAsia" w:ascii="宋体" w:hAnsi="宋体" w:eastAsia="宋体" w:cs="宋体"/>
          <w:sz w:val="30"/>
          <w:szCs w:val="30"/>
        </w:rPr>
        <w:t>。</w:t>
      </w:r>
    </w:p>
    <w:p w14:paraId="0600FF4F">
      <w:pPr>
        <w:ind w:firstLine="576" w:firstLineChars="200"/>
        <w:rPr>
          <w:rFonts w:hint="eastAsia" w:ascii="宋体" w:hAnsi="宋体" w:eastAsia="宋体" w:cs="宋体"/>
          <w:sz w:val="30"/>
          <w:szCs w:val="30"/>
        </w:rPr>
      </w:pPr>
      <w:bookmarkStart w:id="18" w:name="_Toc5828_WPSOffice_Level3"/>
      <w:bookmarkStart w:id="19" w:name="_Toc19200_WPSOffice_Level2"/>
      <w:bookmarkStart w:id="20" w:name="_Toc32482"/>
      <w:bookmarkStart w:id="21" w:name="_Toc13662"/>
      <w:r>
        <w:rPr>
          <w:rFonts w:hint="eastAsia" w:ascii="宋体" w:hAnsi="宋体" w:eastAsia="宋体" w:cs="宋体"/>
          <w:sz w:val="30"/>
          <w:szCs w:val="30"/>
        </w:rPr>
        <w:t>1. 预算编制合理性及规范性：预算编制符合部门职责和县委县政府政策要求，资金分配合理，项目细化程度高，得分满分。</w:t>
      </w:r>
    </w:p>
    <w:p w14:paraId="1DE5EE92">
      <w:pPr>
        <w:ind w:firstLine="576" w:firstLineChars="200"/>
        <w:rPr>
          <w:rFonts w:hint="eastAsia" w:ascii="宋体" w:hAnsi="宋体" w:eastAsia="宋体" w:cs="宋体"/>
          <w:sz w:val="30"/>
          <w:szCs w:val="30"/>
        </w:rPr>
      </w:pPr>
      <w:r>
        <w:rPr>
          <w:rFonts w:hint="eastAsia" w:ascii="宋体" w:hAnsi="宋体" w:eastAsia="宋体" w:cs="宋体"/>
          <w:sz w:val="30"/>
          <w:szCs w:val="30"/>
        </w:rPr>
        <w:t>2. 目标设置情况：绩效目标与年度工作任务匹配，指标明确可量化，覆盖全面，得分满分。</w:t>
      </w:r>
    </w:p>
    <w:p w14:paraId="101DB235">
      <w:pPr>
        <w:ind w:firstLine="576" w:firstLineChars="200"/>
        <w:rPr>
          <w:rFonts w:hint="eastAsia" w:ascii="宋体" w:hAnsi="宋体" w:eastAsia="宋体" w:cs="宋体"/>
          <w:sz w:val="30"/>
          <w:szCs w:val="30"/>
        </w:rPr>
      </w:pPr>
      <w:r>
        <w:rPr>
          <w:rFonts w:hint="eastAsia" w:ascii="宋体" w:hAnsi="宋体" w:eastAsia="宋体" w:cs="宋体"/>
          <w:sz w:val="30"/>
          <w:szCs w:val="30"/>
        </w:rPr>
        <w:t>（二）预算执行情况</w:t>
      </w:r>
      <w:bookmarkEnd w:id="18"/>
      <w:bookmarkEnd w:id="19"/>
      <w:bookmarkEnd w:id="20"/>
      <w:bookmarkEnd w:id="21"/>
      <w:r>
        <w:rPr>
          <w:rFonts w:hint="eastAsia" w:ascii="宋体" w:hAnsi="宋体" w:eastAsia="宋体" w:cs="宋体"/>
          <w:sz w:val="30"/>
          <w:szCs w:val="30"/>
        </w:rPr>
        <w:t>。</w:t>
      </w:r>
    </w:p>
    <w:p w14:paraId="1BF12502">
      <w:pPr>
        <w:ind w:firstLine="576" w:firstLineChars="200"/>
        <w:rPr>
          <w:rFonts w:hint="eastAsia" w:ascii="宋体" w:hAnsi="宋体" w:eastAsia="宋体" w:cs="宋体"/>
          <w:sz w:val="30"/>
          <w:szCs w:val="30"/>
        </w:rPr>
      </w:pPr>
      <w:bookmarkStart w:id="22" w:name="_Toc15901_WPSOffice_Level2"/>
      <w:bookmarkStart w:id="23" w:name="_Toc26860"/>
      <w:bookmarkStart w:id="24" w:name="_Toc14900"/>
      <w:bookmarkStart w:id="25" w:name="_Toc20443_WPSOffice_Level3"/>
      <w:r>
        <w:rPr>
          <w:rFonts w:hint="eastAsia" w:ascii="宋体" w:hAnsi="宋体" w:eastAsia="宋体" w:cs="宋体"/>
          <w:sz w:val="30"/>
          <w:szCs w:val="30"/>
        </w:rPr>
        <w:t>1. 制度管理：部门制定并严格执行财务、资产、项目等管理制度，内控机制健全，得分满分。</w:t>
      </w:r>
    </w:p>
    <w:p w14:paraId="0E9E8704">
      <w:pPr>
        <w:ind w:firstLine="576" w:firstLineChars="200"/>
        <w:rPr>
          <w:rFonts w:hint="eastAsia" w:ascii="宋体" w:hAnsi="宋体" w:eastAsia="宋体" w:cs="宋体"/>
          <w:sz w:val="30"/>
          <w:szCs w:val="30"/>
          <w:lang w:eastAsia="zh-CN"/>
        </w:rPr>
      </w:pPr>
      <w:r>
        <w:rPr>
          <w:rFonts w:hint="eastAsia" w:ascii="宋体" w:hAnsi="宋体" w:eastAsia="宋体" w:cs="宋体"/>
          <w:sz w:val="30"/>
          <w:szCs w:val="30"/>
        </w:rPr>
        <w:t>2. 资金管理：资金下达及时，合规性得分满分；部门预算资金支出</w:t>
      </w:r>
      <w:r>
        <w:rPr>
          <w:rFonts w:hint="eastAsia" w:ascii="宋体" w:hAnsi="宋体" w:eastAsia="宋体" w:cs="宋体"/>
          <w:sz w:val="30"/>
          <w:szCs w:val="30"/>
          <w:lang w:eastAsia="zh-CN"/>
        </w:rPr>
        <w:t>按时，</w:t>
      </w:r>
      <w:r>
        <w:rPr>
          <w:rFonts w:hint="eastAsia" w:ascii="宋体" w:hAnsi="宋体" w:eastAsia="宋体" w:cs="宋体"/>
          <w:sz w:val="30"/>
          <w:szCs w:val="30"/>
        </w:rPr>
        <w:t>政府采购执行</w:t>
      </w:r>
      <w:r>
        <w:rPr>
          <w:rFonts w:hint="eastAsia" w:ascii="宋体" w:hAnsi="宋体" w:eastAsia="宋体" w:cs="宋体"/>
          <w:sz w:val="30"/>
          <w:szCs w:val="30"/>
          <w:lang w:eastAsia="zh-CN"/>
        </w:rPr>
        <w:t>规范，</w:t>
      </w:r>
      <w:r>
        <w:rPr>
          <w:rFonts w:hint="eastAsia" w:ascii="宋体" w:hAnsi="宋体" w:eastAsia="宋体" w:cs="宋体"/>
          <w:sz w:val="30"/>
          <w:szCs w:val="30"/>
        </w:rPr>
        <w:t>财务合规性和预决算信息公开性符合要求</w:t>
      </w:r>
      <w:r>
        <w:rPr>
          <w:rFonts w:hint="eastAsia" w:ascii="宋体" w:hAnsi="宋体" w:eastAsia="宋体" w:cs="宋体"/>
          <w:sz w:val="30"/>
          <w:szCs w:val="30"/>
          <w:lang w:eastAsia="zh-CN"/>
        </w:rPr>
        <w:t>。</w:t>
      </w:r>
    </w:p>
    <w:p w14:paraId="57B97222">
      <w:pPr>
        <w:ind w:firstLine="576" w:firstLineChars="200"/>
        <w:rPr>
          <w:rFonts w:hint="eastAsia" w:ascii="宋体" w:hAnsi="宋体" w:eastAsia="宋体" w:cs="宋体"/>
          <w:sz w:val="30"/>
          <w:szCs w:val="30"/>
        </w:rPr>
      </w:pPr>
      <w:r>
        <w:rPr>
          <w:rFonts w:hint="eastAsia" w:ascii="宋体" w:hAnsi="宋体" w:eastAsia="宋体" w:cs="宋体"/>
          <w:sz w:val="30"/>
          <w:szCs w:val="30"/>
        </w:rPr>
        <w:t>3. 项目管理：项目程序规范，监管到位，验收及时，得分满分。</w:t>
      </w:r>
    </w:p>
    <w:p w14:paraId="5ADD9B9C">
      <w:pPr>
        <w:ind w:firstLine="576" w:firstLineChars="200"/>
        <w:rPr>
          <w:rFonts w:hint="eastAsia" w:ascii="宋体" w:hAnsi="宋体" w:eastAsia="宋体" w:cs="宋体"/>
          <w:sz w:val="30"/>
          <w:szCs w:val="30"/>
        </w:rPr>
      </w:pPr>
      <w:r>
        <w:rPr>
          <w:rFonts w:hint="eastAsia" w:ascii="宋体" w:hAnsi="宋体" w:eastAsia="宋体" w:cs="宋体"/>
          <w:sz w:val="30"/>
          <w:szCs w:val="30"/>
        </w:rPr>
        <w:t>4. 资产管理：资产管理制度健全，配置合理，固定资产利用率98%（目标≥90%），得分满分。</w:t>
      </w:r>
    </w:p>
    <w:p w14:paraId="3FE57E44">
      <w:pPr>
        <w:ind w:firstLine="576" w:firstLineChars="200"/>
        <w:rPr>
          <w:rFonts w:hint="eastAsia" w:ascii="宋体" w:hAnsi="宋体" w:eastAsia="宋体" w:cs="宋体"/>
          <w:sz w:val="30"/>
          <w:szCs w:val="30"/>
        </w:rPr>
      </w:pPr>
      <w:r>
        <w:rPr>
          <w:rFonts w:hint="eastAsia" w:ascii="宋体" w:hAnsi="宋体" w:eastAsia="宋体" w:cs="宋体"/>
          <w:sz w:val="30"/>
          <w:szCs w:val="30"/>
        </w:rPr>
        <w:t>（三）</w:t>
      </w:r>
      <w:bookmarkEnd w:id="22"/>
      <w:bookmarkEnd w:id="23"/>
      <w:bookmarkEnd w:id="24"/>
      <w:bookmarkEnd w:id="25"/>
      <w:r>
        <w:rPr>
          <w:rFonts w:hint="eastAsia" w:ascii="宋体" w:hAnsi="宋体" w:eastAsia="宋体" w:cs="宋体"/>
          <w:sz w:val="30"/>
          <w:szCs w:val="30"/>
        </w:rPr>
        <w:t>预算使用效益。</w:t>
      </w:r>
    </w:p>
    <w:p w14:paraId="4BF97EF8">
      <w:pPr>
        <w:ind w:firstLine="576" w:firstLineChars="200"/>
        <w:rPr>
          <w:rFonts w:hint="eastAsia" w:ascii="宋体" w:hAnsi="宋体" w:eastAsia="宋体" w:cs="宋体"/>
          <w:sz w:val="30"/>
          <w:szCs w:val="30"/>
        </w:rPr>
      </w:pPr>
      <w:r>
        <w:rPr>
          <w:rFonts w:hint="eastAsia" w:ascii="宋体" w:hAnsi="宋体" w:eastAsia="宋体" w:cs="宋体"/>
          <w:sz w:val="30"/>
          <w:szCs w:val="30"/>
        </w:rPr>
        <w:t>1. 经济性：“三公”经费和公用经费支出均未超预算，得分满分。</w:t>
      </w:r>
    </w:p>
    <w:p w14:paraId="718C60AE">
      <w:pPr>
        <w:ind w:firstLine="576" w:firstLineChars="200"/>
        <w:rPr>
          <w:rFonts w:hint="eastAsia" w:ascii="宋体" w:hAnsi="宋体" w:eastAsia="宋体" w:cs="宋体"/>
          <w:sz w:val="30"/>
          <w:szCs w:val="30"/>
        </w:rPr>
      </w:pPr>
      <w:r>
        <w:rPr>
          <w:rFonts w:hint="eastAsia" w:ascii="宋体" w:hAnsi="宋体" w:eastAsia="宋体" w:cs="宋体"/>
          <w:sz w:val="30"/>
          <w:szCs w:val="30"/>
        </w:rPr>
        <w:t>2. 效率性：项目完成及时率100%，绩效目标完成率≥90%，重点任务全部按期完成，得分满分。</w:t>
      </w:r>
    </w:p>
    <w:p w14:paraId="2166219E">
      <w:pPr>
        <w:ind w:firstLine="576" w:firstLineChars="200"/>
        <w:rPr>
          <w:rFonts w:hint="eastAsia" w:ascii="宋体" w:hAnsi="宋体" w:eastAsia="宋体" w:cs="宋体"/>
          <w:sz w:val="30"/>
          <w:szCs w:val="30"/>
        </w:rPr>
      </w:pPr>
      <w:r>
        <w:rPr>
          <w:rFonts w:hint="eastAsia" w:ascii="宋体" w:hAnsi="宋体" w:eastAsia="宋体" w:cs="宋体"/>
          <w:sz w:val="30"/>
          <w:szCs w:val="30"/>
        </w:rPr>
        <w:t>3. 效果性：城镇新增就业</w:t>
      </w:r>
      <w:r>
        <w:rPr>
          <w:rFonts w:hint="eastAsia" w:ascii="仿宋_GB2312" w:hAnsi="仿宋_GB2312" w:eastAsia="仿宋_GB2312" w:cs="仿宋_GB2312"/>
          <w:b w:val="0"/>
          <w:bCs w:val="0"/>
          <w:sz w:val="32"/>
          <w:szCs w:val="32"/>
          <w:lang w:val="en-US" w:eastAsia="zh-CN"/>
        </w:rPr>
        <w:t>2272</w:t>
      </w:r>
      <w:r>
        <w:rPr>
          <w:rFonts w:hint="eastAsia" w:ascii="宋体" w:hAnsi="宋体" w:eastAsia="宋体" w:cs="宋体"/>
          <w:sz w:val="30"/>
          <w:szCs w:val="30"/>
        </w:rPr>
        <w:t>人（目标≥2,000人），</w:t>
      </w:r>
      <w:r>
        <w:rPr>
          <w:rFonts w:hint="eastAsia" w:ascii="宋体" w:hAnsi="宋体" w:eastAsia="宋体" w:cs="宋体"/>
          <w:sz w:val="30"/>
          <w:szCs w:val="30"/>
          <w:lang w:eastAsia="zh-CN"/>
        </w:rPr>
        <w:t>比上年度有所增加，</w:t>
      </w:r>
      <w:r>
        <w:rPr>
          <w:rFonts w:hint="eastAsia" w:ascii="宋体" w:hAnsi="宋体" w:eastAsia="宋体" w:cs="宋体"/>
          <w:b w:val="0"/>
          <w:bCs w:val="0"/>
          <w:sz w:val="30"/>
          <w:szCs w:val="30"/>
          <w:lang w:val="en-US" w:eastAsia="zh-CN"/>
        </w:rPr>
        <w:t>城乡居民基本医疗保险参保422372人，完成率为97.70%，劳动监察接收信访维稳中心转办、书记信箱、信访网、全国根治欠薪线索反映平台等线上投诉件1957件（与去年相比升8.29% ）</w:t>
      </w:r>
      <w:r>
        <w:rPr>
          <w:rFonts w:hint="eastAsia" w:ascii="宋体" w:hAnsi="宋体" w:eastAsia="宋体" w:cs="宋体"/>
          <w:sz w:val="30"/>
          <w:szCs w:val="30"/>
        </w:rPr>
        <w:t>，服务对象满意度100%，部门履职效益显著，得分满分。</w:t>
      </w:r>
    </w:p>
    <w:p w14:paraId="0DE9695E">
      <w:pPr>
        <w:ind w:firstLine="576" w:firstLineChars="200"/>
        <w:rPr>
          <w:rFonts w:hint="eastAsia" w:ascii="宋体" w:hAnsi="宋体" w:eastAsia="宋体" w:cs="宋体"/>
          <w:sz w:val="30"/>
          <w:szCs w:val="30"/>
        </w:rPr>
      </w:pPr>
      <w:r>
        <w:rPr>
          <w:rFonts w:hint="eastAsia" w:ascii="宋体" w:hAnsi="宋体" w:eastAsia="宋体" w:cs="宋体"/>
          <w:sz w:val="30"/>
          <w:szCs w:val="30"/>
        </w:rPr>
        <w:t>4. 公平性：建立群众信访渠道并100%回复，公众满意度高，得分满分。</w:t>
      </w:r>
    </w:p>
    <w:p w14:paraId="137C0AAA">
      <w:pPr>
        <w:ind w:firstLine="616" w:firstLineChars="200"/>
        <w:rPr>
          <w:rFonts w:ascii="方正小标宋简体" w:eastAsia="方正小标宋简体"/>
        </w:rPr>
      </w:pPr>
      <w:r>
        <w:rPr>
          <w:rFonts w:hint="eastAsia" w:ascii="方正小标宋简体" w:eastAsia="方正小标宋简体"/>
        </w:rPr>
        <w:t>四、存在的问题、原因分析及改进措施</w:t>
      </w:r>
    </w:p>
    <w:p w14:paraId="764B4417">
      <w:pPr>
        <w:ind w:firstLine="616" w:firstLineChars="200"/>
        <w:rPr>
          <w:rFonts w:hint="eastAsia" w:ascii="宋体" w:hAnsi="宋体" w:eastAsia="宋体" w:cs="宋体"/>
          <w:sz w:val="30"/>
          <w:szCs w:val="30"/>
          <w:lang w:val="en-US" w:eastAsia="zh-CN"/>
        </w:rPr>
      </w:pPr>
      <w:r>
        <w:rPr>
          <w:rFonts w:hint="eastAsia"/>
        </w:rPr>
        <w:t>存</w:t>
      </w:r>
      <w:r>
        <w:rPr>
          <w:rFonts w:hint="eastAsia" w:ascii="宋体" w:hAnsi="宋体" w:eastAsia="宋体" w:cs="宋体"/>
          <w:sz w:val="30"/>
          <w:szCs w:val="30"/>
        </w:rPr>
        <w:t>在问题</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企业参与技能培训项目的意愿不强，且企业的培训需求和我县现有的培训资源不匹配，部分工种有培训需求，但人数较少、工种分散，难以集中培训；医保基金智能监管系统使用率低。医院在使用医保基金智能监管系统上存在使用效率低、拦截率低的问题；部分医院反馈智能监管系统中内置的规则少，对许多常见的违规情况难以起到拦截警告的作用，需要另外请专业技术人员自行制定规则，门槛较高。</w:t>
      </w:r>
    </w:p>
    <w:p w14:paraId="5BB869A0">
      <w:pPr>
        <w:ind w:firstLine="576" w:firstLineChars="200"/>
        <w:rPr>
          <w:rFonts w:hint="eastAsia" w:ascii="宋体" w:hAnsi="宋体" w:eastAsia="宋体" w:cs="宋体"/>
          <w:sz w:val="30"/>
          <w:szCs w:val="30"/>
          <w:lang w:val="en-US" w:eastAsia="zh-CN"/>
        </w:rPr>
      </w:pPr>
      <w:r>
        <w:rPr>
          <w:rFonts w:hint="eastAsia" w:ascii="宋体" w:hAnsi="宋体" w:eastAsia="宋体" w:cs="宋体"/>
          <w:sz w:val="30"/>
          <w:szCs w:val="30"/>
          <w:lang w:eastAsia="zh-CN"/>
        </w:rPr>
        <w:t>下一步</w:t>
      </w:r>
      <w:r>
        <w:rPr>
          <w:rFonts w:hint="eastAsia" w:ascii="宋体" w:hAnsi="宋体" w:eastAsia="宋体" w:cs="宋体"/>
          <w:sz w:val="30"/>
          <w:szCs w:val="30"/>
        </w:rPr>
        <w:t>工作计划</w:t>
      </w:r>
      <w:r>
        <w:rPr>
          <w:rFonts w:hint="eastAsia" w:ascii="宋体" w:hAnsi="宋体" w:eastAsia="宋体" w:cs="宋体"/>
          <w:sz w:val="30"/>
          <w:szCs w:val="30"/>
          <w:lang w:eastAsia="zh-CN"/>
        </w:rPr>
        <w:t>。</w:t>
      </w:r>
      <w:r>
        <w:rPr>
          <w:rFonts w:hint="eastAsia" w:ascii="宋体" w:hAnsi="宋体" w:eastAsia="宋体" w:cs="宋体"/>
          <w:sz w:val="30"/>
          <w:szCs w:val="30"/>
        </w:rPr>
        <w:t>（</w:t>
      </w:r>
      <w:r>
        <w:rPr>
          <w:rFonts w:hint="eastAsia" w:ascii="宋体" w:hAnsi="宋体" w:eastAsia="宋体" w:cs="宋体"/>
          <w:sz w:val="30"/>
          <w:szCs w:val="30"/>
          <w:lang w:val="en-US" w:eastAsia="zh-CN"/>
        </w:rPr>
        <w:t>1</w:t>
      </w:r>
      <w:r>
        <w:rPr>
          <w:rFonts w:hint="eastAsia" w:ascii="宋体" w:hAnsi="宋体" w:eastAsia="宋体" w:cs="宋体"/>
          <w:sz w:val="30"/>
          <w:szCs w:val="30"/>
        </w:rPr>
        <w:t>）全面贯彻落实就业政策，千方百计扩大就业</w:t>
      </w:r>
      <w:r>
        <w:rPr>
          <w:rFonts w:hint="eastAsia" w:ascii="宋体" w:hAnsi="宋体" w:eastAsia="宋体" w:cs="宋体"/>
          <w:sz w:val="30"/>
          <w:szCs w:val="30"/>
          <w:lang w:eastAsia="zh-CN"/>
        </w:rPr>
        <w:t>，</w:t>
      </w:r>
      <w:r>
        <w:rPr>
          <w:rFonts w:hint="eastAsia" w:ascii="宋体" w:hAnsi="宋体" w:eastAsia="宋体" w:cs="宋体"/>
          <w:sz w:val="30"/>
          <w:szCs w:val="30"/>
        </w:rPr>
        <w:t>一</w:t>
      </w:r>
      <w:r>
        <w:rPr>
          <w:rFonts w:hint="eastAsia" w:ascii="宋体" w:hAnsi="宋体" w:eastAsia="宋体" w:cs="宋体"/>
          <w:sz w:val="30"/>
          <w:szCs w:val="30"/>
          <w:lang w:eastAsia="zh-CN"/>
        </w:rPr>
        <w:t>是</w:t>
      </w:r>
      <w:r>
        <w:rPr>
          <w:rFonts w:hint="eastAsia" w:ascii="宋体" w:hAnsi="宋体" w:eastAsia="宋体" w:cs="宋体"/>
          <w:sz w:val="30"/>
          <w:szCs w:val="30"/>
          <w:lang w:val="en-US" w:eastAsia="zh-CN"/>
        </w:rPr>
        <w:t>深入实施就业优先战略。将依托“四个一”机制（组建一支服务队伍、运营一个宣传公众号、打造一批就业驿站、构建一个社群矩阵），拓宽就业渠道，为群众提供家门口高质量就业服务。二是跟进资金支出进度。加强和县财政局的日常沟通，结合我县财政实际，及时支出涉及特殊人群的相关补贴，做好社会面维稳工作。</w:t>
      </w:r>
      <w:r>
        <w:rPr>
          <w:rFonts w:hint="eastAsia" w:ascii="宋体" w:hAnsi="宋体" w:eastAsia="宋体" w:cs="宋体"/>
          <w:sz w:val="30"/>
          <w:szCs w:val="30"/>
        </w:rPr>
        <w:t>三</w:t>
      </w:r>
      <w:r>
        <w:rPr>
          <w:rFonts w:hint="eastAsia" w:ascii="宋体" w:hAnsi="宋体" w:eastAsia="宋体" w:cs="宋体"/>
          <w:sz w:val="30"/>
          <w:szCs w:val="30"/>
          <w:lang w:eastAsia="zh-CN"/>
        </w:rPr>
        <w:t>是重点做好公共就业平台服务工作，</w:t>
      </w:r>
      <w:r>
        <w:rPr>
          <w:rFonts w:hint="eastAsia" w:ascii="宋体" w:hAnsi="宋体" w:eastAsia="宋体" w:cs="宋体"/>
          <w:sz w:val="30"/>
          <w:szCs w:val="30"/>
          <w:lang w:val="en-US" w:eastAsia="zh-CN"/>
        </w:rPr>
        <w:t>2026年计划开展线上线下招聘会12场次以上，全县10个就业驿站服务群众达5000人次以上，促进城镇新增就业1900人。</w:t>
      </w:r>
      <w:r>
        <w:rPr>
          <w:rFonts w:hint="eastAsia" w:ascii="宋体" w:hAnsi="宋体" w:eastAsia="宋体" w:cs="宋体"/>
          <w:sz w:val="30"/>
          <w:szCs w:val="30"/>
        </w:rPr>
        <w:t>（</w:t>
      </w:r>
      <w:r>
        <w:rPr>
          <w:rFonts w:hint="eastAsia" w:ascii="宋体" w:hAnsi="宋体" w:eastAsia="宋体" w:cs="宋体"/>
          <w:sz w:val="30"/>
          <w:szCs w:val="30"/>
          <w:lang w:val="en-US" w:eastAsia="zh-CN"/>
        </w:rPr>
        <w:t>2</w:t>
      </w:r>
      <w:r>
        <w:rPr>
          <w:rFonts w:hint="eastAsia" w:ascii="宋体" w:hAnsi="宋体" w:eastAsia="宋体" w:cs="宋体"/>
          <w:sz w:val="30"/>
          <w:szCs w:val="30"/>
        </w:rPr>
        <w:t>）</w:t>
      </w:r>
      <w:r>
        <w:rPr>
          <w:rFonts w:hint="eastAsia" w:ascii="宋体" w:hAnsi="宋体" w:eastAsia="宋体" w:cs="宋体"/>
          <w:sz w:val="30"/>
          <w:szCs w:val="30"/>
          <w:lang w:eastAsia="zh-CN"/>
        </w:rPr>
        <w:t>多措并举，推进职业技能培训高质量发展，</w:t>
      </w:r>
      <w:r>
        <w:rPr>
          <w:rFonts w:hint="eastAsia" w:ascii="宋体" w:hAnsi="宋体" w:eastAsia="宋体" w:cs="宋体"/>
          <w:sz w:val="30"/>
          <w:szCs w:val="30"/>
          <w:lang w:val="en-US" w:eastAsia="zh-CN"/>
        </w:rPr>
        <w:t>一是积极开展补贴性职业技能培训。充分发挥县“三项工程”领导小组职能，联合小组成员单位开展技能培训，扩大“三项工程”培训影响力。计划开展补贴性职业技能培训1000人次。二是组织培训机构依据国家职业标准，采取多种形式，利用各级财政资金开展“三项工程”职业技能培训公益班。三是继续跟进和指导县内职业技能培训机构和自主评价机构开展评价考试工作，大力支持企业开展职工在岗培训和技能人才自主评价，发放技能等级证书。加大校企合作扶持力度，鼓励有条件的企业开展新型学徒制培训。</w:t>
      </w:r>
      <w:r>
        <w:rPr>
          <w:rFonts w:hint="eastAsia" w:ascii="宋体" w:hAnsi="宋体" w:eastAsia="宋体" w:cs="宋体"/>
          <w:sz w:val="30"/>
          <w:szCs w:val="30"/>
        </w:rPr>
        <w:t>（</w:t>
      </w:r>
      <w:r>
        <w:rPr>
          <w:rFonts w:hint="eastAsia" w:ascii="宋体" w:hAnsi="宋体" w:eastAsia="宋体" w:cs="宋体"/>
          <w:sz w:val="30"/>
          <w:szCs w:val="30"/>
          <w:lang w:val="en-US" w:eastAsia="zh-CN"/>
        </w:rPr>
        <w:t>3</w:t>
      </w:r>
      <w:r>
        <w:rPr>
          <w:rFonts w:hint="eastAsia" w:ascii="宋体" w:hAnsi="宋体" w:eastAsia="宋体" w:cs="宋体"/>
          <w:sz w:val="30"/>
          <w:szCs w:val="30"/>
        </w:rPr>
        <w:t>）</w:t>
      </w:r>
      <w:r>
        <w:rPr>
          <w:rFonts w:hint="eastAsia" w:ascii="宋体" w:hAnsi="宋体" w:eastAsia="宋体" w:cs="宋体"/>
          <w:sz w:val="30"/>
          <w:szCs w:val="30"/>
          <w:lang w:val="en-US" w:eastAsia="zh-CN"/>
        </w:rPr>
        <w:t>不断优化医保服务，严厉打击欺诈骗保行为，一是深入推进紧密型县域医共体支付方式改革工作，不断提升基层公共卫生服务能力，提高医保经办业务能力。确保医保基金安全运行。全面落实城乡居民医保参保长效机制，不断扩大居民医保覆盖面，全力资助困难人群参保城乡居民医保，做到全县参保率达到95%以上。二是加大欺诈骗保打击力度。做好2026年度县级医保基金监管专项检查工作，结合我县工作实际，坚持严查严处。做好既往交叉检查和医保专项检查案件的后续处理工作，追回违规款项，按医保服务协议进行处理，完成行政处罚工作。</w:t>
      </w:r>
      <w:r>
        <w:rPr>
          <w:rFonts w:hint="eastAsia" w:ascii="宋体" w:hAnsi="宋体" w:eastAsia="宋体" w:cs="宋体"/>
          <w:sz w:val="30"/>
          <w:szCs w:val="30"/>
        </w:rPr>
        <w:t>（</w:t>
      </w:r>
      <w:r>
        <w:rPr>
          <w:rFonts w:hint="eastAsia" w:ascii="宋体" w:hAnsi="宋体" w:eastAsia="宋体" w:cs="宋体"/>
          <w:sz w:val="30"/>
          <w:szCs w:val="30"/>
          <w:lang w:val="en-US" w:eastAsia="zh-CN"/>
        </w:rPr>
        <w:t>4</w:t>
      </w:r>
      <w:r>
        <w:rPr>
          <w:rFonts w:hint="eastAsia" w:ascii="宋体" w:hAnsi="宋体" w:eastAsia="宋体" w:cs="宋体"/>
          <w:sz w:val="30"/>
          <w:szCs w:val="30"/>
        </w:rPr>
        <w:t>）持续筑巢引凤，</w:t>
      </w:r>
      <w:r>
        <w:rPr>
          <w:rFonts w:hint="eastAsia" w:ascii="宋体" w:hAnsi="宋体" w:eastAsia="宋体" w:cs="宋体"/>
          <w:sz w:val="30"/>
          <w:szCs w:val="30"/>
          <w:lang w:val="en-US" w:eastAsia="zh-CN"/>
        </w:rPr>
        <w:t>加强人才引用留育</w:t>
      </w:r>
    </w:p>
    <w:p w14:paraId="5B5EAF95">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一是制定我县2026年阳西县高层次人才和急需紧缺人才引进工作计划。二是制定我县事业单位公开招聘工作计划。根据我县公开招聘工作计划，组织参加省事业单位2026年集中公开招聘高校毕业生，协助县教育系统、卫生系统做好公开招聘工作。（5）加强项目欠薪治理，切实维护劳动者合法权益，一是开展治理欠薪冬季行动。按照“属地管理、分级负责、谁主管谁负责”的原则，坚持治源头、防风险、强监管、严惩处、兜底线，聚焦重点行业、工程建设领域特别是政府、国企工程项目，采取超常规举措强化欠薪治理，确保所有查实的欠薪案件在2026年春节前全部办结，坚决遏制因欠薪引发重大群体性事件或恶性极端事件，维护社会大局和谐稳定。二是进一步明确职责分工，突出镇监管、化解职能，压实部门责任，着重从源头上加强劳动用工管理，及时化解风险隐患，提升问题处置时效，从源头上杜绝和减少欠薪问题的发生。配合市做好根治拖欠农民工工资考核工作。三是加强纠纷调解力度和联合执法力度，做到有案必查，违法必究，执法必严。充分发挥各职能部门的作用，构建部门联动、联防、联治工作格局。</w:t>
      </w:r>
      <w:r>
        <w:rPr>
          <w:rFonts w:hint="eastAsia" w:ascii="宋体" w:hAnsi="宋体" w:eastAsia="宋体" w:cs="宋体"/>
          <w:sz w:val="30"/>
          <w:szCs w:val="30"/>
        </w:rPr>
        <w:t>（</w:t>
      </w:r>
      <w:r>
        <w:rPr>
          <w:rFonts w:hint="eastAsia" w:ascii="宋体" w:hAnsi="宋体" w:eastAsia="宋体" w:cs="宋体"/>
          <w:sz w:val="30"/>
          <w:szCs w:val="30"/>
          <w:lang w:val="en-US" w:eastAsia="zh-CN"/>
        </w:rPr>
        <w:t>6</w:t>
      </w:r>
      <w:r>
        <w:rPr>
          <w:rFonts w:hint="eastAsia" w:ascii="宋体" w:hAnsi="宋体" w:eastAsia="宋体" w:cs="宋体"/>
          <w:sz w:val="30"/>
          <w:szCs w:val="30"/>
        </w:rPr>
        <w:t>）</w:t>
      </w:r>
      <w:r>
        <w:rPr>
          <w:rFonts w:hint="eastAsia" w:ascii="宋体" w:hAnsi="宋体" w:eastAsia="宋体" w:cs="宋体"/>
          <w:sz w:val="30"/>
          <w:szCs w:val="30"/>
          <w:lang w:val="en-US" w:eastAsia="zh-CN"/>
        </w:rPr>
        <w:t>聚焦便民利民，持续加强医保经办能力建设，一是推进服务便捷化。改进县行政服务大厅医保窗口服务措施和优化服务流程，找准群众办事痛点难点堵点，贯彻落实广东省医疗保障经办政务服务事项清单，推动经办数字化转型，推进医保服务网上办、规范办、便捷办、高效办。二是延伸服务覆盖面。进一步加强镇村医保经办服务体系建设，让群众就近办理基本医保服务事项，做到“让数据多跑路，让群众少跑腿”；继续推进村卫生站直接结算，方便群众小病不出村就医。三是提升信息化服务。推进医院医保信息化建设，推动医保电子凭证在医院的全流程应用，提升群众就医医保服务便捷度。</w:t>
      </w:r>
    </w:p>
    <w:p w14:paraId="797022DC">
      <w:pPr>
        <w:ind w:firstLine="616" w:firstLineChars="200"/>
      </w:pPr>
    </w:p>
    <w:p w14:paraId="22E408F3">
      <w:pPr>
        <w:ind w:firstLine="616" w:firstLineChars="200"/>
        <w:rPr>
          <w:rFonts w:ascii="方正小标宋简体" w:eastAsia="方正小标宋简体"/>
        </w:rPr>
      </w:pPr>
      <w:r>
        <w:rPr>
          <w:rFonts w:hint="eastAsia" w:ascii="方正小标宋简体" w:eastAsia="方正小标宋简体"/>
        </w:rPr>
        <w:t>五、其他需要说明的情况</w:t>
      </w:r>
    </w:p>
    <w:p w14:paraId="657CA531">
      <w:pPr>
        <w:ind w:firstLine="616" w:firstLineChars="200"/>
      </w:pPr>
      <w:r>
        <w:rPr>
          <w:rFonts w:hint="eastAsia"/>
          <w:lang w:eastAsia="zh-CN"/>
        </w:rPr>
        <w:t>无</w:t>
      </w:r>
      <w:r>
        <w:rPr>
          <w:rFonts w:hint="eastAsia"/>
        </w:rPr>
        <w:t>。</w:t>
      </w:r>
    </w:p>
    <w:bookmarkEnd w:id="13"/>
    <w:p w14:paraId="05CF134D"/>
    <w:sectPr>
      <w:headerReference r:id="rId3" w:type="default"/>
      <w:pgSz w:w="11906" w:h="16838"/>
      <w:pgMar w:top="1701" w:right="1588" w:bottom="1644" w:left="1701" w:header="851" w:footer="992" w:gutter="0"/>
      <w:cols w:space="425" w:num="1"/>
      <w:docGrid w:type="linesAndChars" w:linePitch="562" w:charSpace="-25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 w:name="KSOF557087D0">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F94F5">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54"/>
  <w:drawingGridVerticalSpacing w:val="28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DA04CD"/>
    <w:rsid w:val="00007A67"/>
    <w:rsid w:val="00022542"/>
    <w:rsid w:val="000258AA"/>
    <w:rsid w:val="000D1E99"/>
    <w:rsid w:val="0012286D"/>
    <w:rsid w:val="00132593"/>
    <w:rsid w:val="00145B76"/>
    <w:rsid w:val="00170E39"/>
    <w:rsid w:val="001834A3"/>
    <w:rsid w:val="00195019"/>
    <w:rsid w:val="001B111B"/>
    <w:rsid w:val="001B4856"/>
    <w:rsid w:val="001D33F5"/>
    <w:rsid w:val="001E1FDF"/>
    <w:rsid w:val="001F096B"/>
    <w:rsid w:val="0022603D"/>
    <w:rsid w:val="00235EDE"/>
    <w:rsid w:val="002A7F8F"/>
    <w:rsid w:val="002C4D92"/>
    <w:rsid w:val="002D7EDF"/>
    <w:rsid w:val="002E516E"/>
    <w:rsid w:val="002E5CB6"/>
    <w:rsid w:val="002F1311"/>
    <w:rsid w:val="00314DC0"/>
    <w:rsid w:val="00331AA1"/>
    <w:rsid w:val="00347820"/>
    <w:rsid w:val="00347914"/>
    <w:rsid w:val="00395359"/>
    <w:rsid w:val="003B7E05"/>
    <w:rsid w:val="004078CE"/>
    <w:rsid w:val="00410146"/>
    <w:rsid w:val="00413B2F"/>
    <w:rsid w:val="00421D22"/>
    <w:rsid w:val="0043014F"/>
    <w:rsid w:val="004531CF"/>
    <w:rsid w:val="004749F5"/>
    <w:rsid w:val="00486009"/>
    <w:rsid w:val="004B2E77"/>
    <w:rsid w:val="004D35D6"/>
    <w:rsid w:val="004D736E"/>
    <w:rsid w:val="00510F6B"/>
    <w:rsid w:val="00537F7E"/>
    <w:rsid w:val="00566EB1"/>
    <w:rsid w:val="00574D73"/>
    <w:rsid w:val="005B06B5"/>
    <w:rsid w:val="005B07DD"/>
    <w:rsid w:val="005B6EB7"/>
    <w:rsid w:val="005B7DAB"/>
    <w:rsid w:val="005C28C3"/>
    <w:rsid w:val="005D4C3F"/>
    <w:rsid w:val="005E6FE2"/>
    <w:rsid w:val="00606F30"/>
    <w:rsid w:val="00620700"/>
    <w:rsid w:val="0062264E"/>
    <w:rsid w:val="006265B7"/>
    <w:rsid w:val="006317C3"/>
    <w:rsid w:val="00665117"/>
    <w:rsid w:val="00675A9A"/>
    <w:rsid w:val="006B0F8D"/>
    <w:rsid w:val="006D4795"/>
    <w:rsid w:val="0074594E"/>
    <w:rsid w:val="00754811"/>
    <w:rsid w:val="007705F1"/>
    <w:rsid w:val="00781B6C"/>
    <w:rsid w:val="0078264B"/>
    <w:rsid w:val="007A7399"/>
    <w:rsid w:val="00804DCB"/>
    <w:rsid w:val="00816A2A"/>
    <w:rsid w:val="008428B2"/>
    <w:rsid w:val="0084340E"/>
    <w:rsid w:val="0086235A"/>
    <w:rsid w:val="00876A57"/>
    <w:rsid w:val="00880F2C"/>
    <w:rsid w:val="008B525A"/>
    <w:rsid w:val="008C30AE"/>
    <w:rsid w:val="008E75C3"/>
    <w:rsid w:val="0090022C"/>
    <w:rsid w:val="00982492"/>
    <w:rsid w:val="00A66BD5"/>
    <w:rsid w:val="00A813BE"/>
    <w:rsid w:val="00A8644D"/>
    <w:rsid w:val="00A91495"/>
    <w:rsid w:val="00AC5B70"/>
    <w:rsid w:val="00AF7207"/>
    <w:rsid w:val="00B05F42"/>
    <w:rsid w:val="00B12D08"/>
    <w:rsid w:val="00B32B1B"/>
    <w:rsid w:val="00B55F8F"/>
    <w:rsid w:val="00BA5204"/>
    <w:rsid w:val="00BF3EFE"/>
    <w:rsid w:val="00BF4502"/>
    <w:rsid w:val="00C005AF"/>
    <w:rsid w:val="00C10A76"/>
    <w:rsid w:val="00C112EA"/>
    <w:rsid w:val="00CD5F4B"/>
    <w:rsid w:val="00D24C0F"/>
    <w:rsid w:val="00D41CC7"/>
    <w:rsid w:val="00D45282"/>
    <w:rsid w:val="00D46575"/>
    <w:rsid w:val="00D67E60"/>
    <w:rsid w:val="00D73EB4"/>
    <w:rsid w:val="00D74AD4"/>
    <w:rsid w:val="00D82FAA"/>
    <w:rsid w:val="00DA04CD"/>
    <w:rsid w:val="00DA43A7"/>
    <w:rsid w:val="00DA5CEB"/>
    <w:rsid w:val="00DC37C4"/>
    <w:rsid w:val="00DC4199"/>
    <w:rsid w:val="00DE17BB"/>
    <w:rsid w:val="00DF7A41"/>
    <w:rsid w:val="00E03302"/>
    <w:rsid w:val="00E21FA4"/>
    <w:rsid w:val="00E23CAC"/>
    <w:rsid w:val="00E3272E"/>
    <w:rsid w:val="00E71A39"/>
    <w:rsid w:val="00E82D5B"/>
    <w:rsid w:val="00EA4E69"/>
    <w:rsid w:val="00EC4520"/>
    <w:rsid w:val="00ED3E32"/>
    <w:rsid w:val="00ED5CA9"/>
    <w:rsid w:val="00F04107"/>
    <w:rsid w:val="00F14CD1"/>
    <w:rsid w:val="00F43167"/>
    <w:rsid w:val="00F43EA4"/>
    <w:rsid w:val="00F57915"/>
    <w:rsid w:val="00FF40BF"/>
    <w:rsid w:val="039B157F"/>
    <w:rsid w:val="061F4BAB"/>
    <w:rsid w:val="14873384"/>
    <w:rsid w:val="4AEE06AD"/>
    <w:rsid w:val="60700A8D"/>
    <w:rsid w:val="61955644"/>
    <w:rsid w:val="68681920"/>
    <w:rsid w:val="6AB3582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4">
    <w:name w:val="heading 1"/>
    <w:basedOn w:val="1"/>
    <w:next w:val="1"/>
    <w:qFormat/>
    <w:uiPriority w:val="0"/>
    <w:pPr>
      <w:keepNext/>
      <w:keepLines/>
      <w:spacing w:line="576" w:lineRule="auto"/>
      <w:outlineLvl w:val="0"/>
    </w:pPr>
    <w:rPr>
      <w:b/>
      <w:kern w:val="44"/>
      <w:sz w:val="44"/>
    </w:rPr>
  </w:style>
  <w:style w:type="paragraph" w:styleId="5">
    <w:name w:val="heading 2"/>
    <w:basedOn w:val="1"/>
    <w:next w:val="1"/>
    <w:qFormat/>
    <w:uiPriority w:val="9"/>
    <w:pPr>
      <w:outlineLvl w:val="1"/>
    </w:pPr>
    <w:rPr>
      <w:rFonts w:ascii="黑体" w:hAnsi="黑体" w:eastAsia="黑体"/>
      <w:sz w:val="32"/>
      <w:szCs w:val="20"/>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0"/>
    <w:pPr>
      <w:spacing w:before="240" w:beforeLines="0" w:after="60" w:afterLines="0" w:line="240" w:lineRule="auto"/>
      <w:ind w:firstLineChars="0"/>
      <w:jc w:val="center"/>
      <w:textAlignment w:val="baseline"/>
    </w:pPr>
    <w:rPr>
      <w:rFonts w:ascii="Cambria" w:hAnsi="Cambria" w:eastAsia="宋体" w:cs="Times New Roman"/>
      <w:b/>
      <w:bCs/>
      <w:kern w:val="2"/>
      <w:sz w:val="32"/>
      <w:szCs w:val="32"/>
      <w:lang w:val="en-US" w:eastAsia="zh-CN" w:bidi="ar-SA"/>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11">
    <w:name w:val="_Style 5"/>
    <w:qFormat/>
    <w:uiPriority w:val="0"/>
    <w:pPr>
      <w:widowControl w:val="0"/>
      <w:ind w:firstLine="200" w:firstLineChars="200"/>
      <w:jc w:val="both"/>
    </w:pPr>
    <w:rPr>
      <w:rFonts w:ascii="Calibri" w:hAnsi="Calibri" w:eastAsia="宋体" w:cs="Times New Roman"/>
      <w:kern w:val="2"/>
      <w:sz w:val="24"/>
      <w:szCs w:val="22"/>
      <w:lang w:val="en-US" w:eastAsia="zh-CN" w:bidi="ar-SA"/>
    </w:rPr>
  </w:style>
  <w:style w:type="paragraph" w:customStyle="1" w:styleId="12">
    <w:name w:val="正文首行缩进 21"/>
    <w:basedOn w:val="1"/>
    <w:qFormat/>
    <w:uiPriority w:val="0"/>
    <w:pPr>
      <w:spacing w:line="360" w:lineRule="auto"/>
      <w:ind w:firstLine="420" w:firstLineChars="200"/>
      <w:textAlignment w:val="baseline"/>
    </w:pPr>
    <w:rPr>
      <w:rFonts w:eastAsia="宋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78</Words>
  <Characters>85</Characters>
  <Lines>6</Lines>
  <Paragraphs>1</Paragraphs>
  <TotalTime>4</TotalTime>
  <ScaleCrop>false</ScaleCrop>
  <LinksUpToDate>false</LinksUpToDate>
  <CharactersWithSpaces>131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2020-07-14T08:14:00Z</dcterms:created>
  <dc:creator>苏锦雯</dc:creator>
  <cp:lastModifiedBy>企业用户_334261884</cp:lastModifiedBy>
  <cp:lastPrinted>2020-07-14T08:13:00Z</cp:lastPrinted>
  <dcterms:modified xsi:type="dcterms:W3CDTF">2026-05-29T05:51:57Z</dcterms:modified>
  <dc:title>附件2-1.市级财政资金绩效自评报告</dc:title>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B15D5FE04C214C6DB5D9D8AC438660BF</vt:lpwstr>
  </property>
  <property fmtid="{D5CDD505-2E9C-101B-9397-08002B2CF9AE}" pid="4" name="KSOTemplateDocerSaveRecord">
    <vt:lpwstr>eyJoZGlkIjoiZjA4ZjFiM2E5YzM0YmE2MjliNDc4MTM0NTAyNDZkNGQiLCJ1c2VySWQiOiIxNjU2Mjc1NjU2In0=</vt:lpwstr>
  </property>
</Properties>
</file>