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B4600">
      <w:pPr>
        <w:rPr>
          <w:rFonts w:ascii="宋体" w:hAnsi="宋体" w:eastAsia="宋体"/>
          <w:sz w:val="28"/>
          <w:szCs w:val="28"/>
        </w:rPr>
      </w:pPr>
      <w:r>
        <w:rPr>
          <w:rFonts w:hint="eastAsia" w:ascii="宋体" w:hAnsi="宋体" w:eastAsia="宋体"/>
          <w:sz w:val="28"/>
          <w:szCs w:val="28"/>
        </w:rPr>
        <w:t>附件2-3</w:t>
      </w:r>
    </w:p>
    <w:p w14:paraId="5D987FAF"/>
    <w:p w14:paraId="1C4E88C3">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县级部门整体支出绩效自评报告</w:t>
      </w:r>
    </w:p>
    <w:p w14:paraId="70AA9FD6"/>
    <w:p w14:paraId="6DBD81BB">
      <w:pPr>
        <w:pStyle w:val="2"/>
      </w:pPr>
    </w:p>
    <w:p w14:paraId="167A6C58"/>
    <w:p w14:paraId="64DF3852"/>
    <w:p w14:paraId="6E465806"/>
    <w:p w14:paraId="07AF257C">
      <w:pPr>
        <w:ind w:firstLine="1894" w:firstLineChars="592"/>
        <w:rPr>
          <w:rFonts w:hint="eastAsia" w:ascii="仿宋_GB2312"/>
          <w:lang w:eastAsia="zh-CN"/>
        </w:rPr>
      </w:pPr>
      <w:r>
        <w:rPr>
          <w:rFonts w:hint="eastAsia"/>
        </w:rPr>
        <w:t>部门名称（公章）：</w:t>
      </w:r>
      <w:r>
        <w:rPr>
          <w:rFonts w:hint="eastAsia" w:ascii="仿宋_GB2312"/>
          <w:lang w:eastAsia="zh-CN"/>
        </w:rPr>
        <w:t>中共阳西县委宣传部</w:t>
      </w:r>
    </w:p>
    <w:p w14:paraId="4B8E860D">
      <w:pPr>
        <w:ind w:firstLine="1894" w:firstLineChars="592"/>
        <w:rPr>
          <w:rFonts w:hint="default"/>
          <w:lang w:val="en-US"/>
        </w:rPr>
      </w:pPr>
      <w:r>
        <w:rPr>
          <w:rFonts w:hint="eastAsia"/>
        </w:rPr>
        <w:t>填报人姓名：</w:t>
      </w:r>
      <w:r>
        <w:rPr>
          <w:rFonts w:hint="eastAsia"/>
          <w:lang w:val="en-US" w:eastAsia="zh-CN"/>
        </w:rPr>
        <w:t>谢慧娴</w:t>
      </w:r>
    </w:p>
    <w:p w14:paraId="7FD12AF0">
      <w:pPr>
        <w:ind w:firstLine="1894" w:firstLineChars="592"/>
        <w:rPr>
          <w:rFonts w:hint="eastAsia"/>
          <w:lang w:val="en-US" w:eastAsia="zh-CN"/>
        </w:rPr>
      </w:pPr>
      <w:r>
        <w:rPr>
          <w:rFonts w:hint="eastAsia"/>
        </w:rPr>
        <w:t>联系电话：</w:t>
      </w:r>
      <w:r>
        <w:rPr>
          <w:rFonts w:hint="eastAsia"/>
          <w:lang w:val="en-US" w:eastAsia="zh-CN"/>
        </w:rPr>
        <w:t>5539887</w:t>
      </w:r>
    </w:p>
    <w:p w14:paraId="38B37AB3">
      <w:pPr>
        <w:ind w:firstLine="1894" w:firstLineChars="592"/>
      </w:pPr>
      <w:r>
        <w:rPr>
          <w:rFonts w:hint="eastAsia"/>
        </w:rPr>
        <w:t>填报日期：</w:t>
      </w:r>
      <w:r>
        <w:rPr>
          <w:rFonts w:hint="eastAsia"/>
          <w:lang w:val="en-US" w:eastAsia="zh-CN"/>
        </w:rPr>
        <w:t>2026年4月23</w:t>
      </w:r>
      <w:bookmarkStart w:id="36" w:name="_GoBack"/>
      <w:bookmarkEnd w:id="36"/>
      <w:r>
        <w:rPr>
          <w:rFonts w:hint="eastAsia"/>
          <w:lang w:val="en-US" w:eastAsia="zh-CN"/>
        </w:rPr>
        <w:t>日</w:t>
      </w:r>
    </w:p>
    <w:p w14:paraId="3ADB8A70">
      <w:pPr>
        <w:ind w:firstLine="1894" w:firstLineChars="592"/>
      </w:pPr>
    </w:p>
    <w:p w14:paraId="69600588"/>
    <w:p w14:paraId="10914307"/>
    <w:p w14:paraId="5AACB69C"/>
    <w:p w14:paraId="4D54287B"/>
    <w:p w14:paraId="1F555ABB">
      <w:r>
        <w:rPr>
          <w:rFonts w:hint="eastAsia"/>
        </w:rPr>
        <w:t xml:space="preserve">                     阳西县财政局制</w:t>
      </w:r>
    </w:p>
    <w:p w14:paraId="2613A692">
      <w:r>
        <w:rPr>
          <w:rFonts w:hint="eastAsia"/>
        </w:rPr>
        <w:t xml:space="preserve">                         202</w:t>
      </w:r>
      <w:r>
        <w:rPr>
          <w:rFonts w:hint="eastAsia"/>
          <w:lang w:val="en-US" w:eastAsia="zh-CN"/>
        </w:rPr>
        <w:t>6</w:t>
      </w:r>
      <w:r>
        <w:rPr>
          <w:rFonts w:hint="eastAsia"/>
        </w:rPr>
        <w:t>年</w:t>
      </w:r>
    </w:p>
    <w:p w14:paraId="6D528AB8"/>
    <w:p w14:paraId="42B87947">
      <w:pPr>
        <w:pStyle w:val="8"/>
        <w:ind w:firstLine="640"/>
        <w:rPr>
          <w:rFonts w:hint="eastAsia" w:ascii="仿宋_GB2312" w:hAnsi="Times New Roman" w:eastAsia="仿宋_GB2312"/>
          <w:sz w:val="32"/>
          <w:szCs w:val="32"/>
          <w:lang w:val="en-US" w:eastAsia="zh-CN"/>
        </w:rPr>
        <w:sectPr>
          <w:footerReference r:id="rId3" w:type="default"/>
          <w:pgSz w:w="11906" w:h="16838"/>
          <w:pgMar w:top="2041" w:right="1417" w:bottom="1417" w:left="1531" w:header="851" w:footer="992" w:gutter="0"/>
          <w:pgNumType w:fmt="decimal" w:start="1"/>
          <w:cols w:space="720" w:num="1"/>
          <w:docGrid w:type="lines" w:linePitch="312" w:charSpace="0"/>
        </w:sectPr>
      </w:pPr>
    </w:p>
    <w:p w14:paraId="109C0465">
      <w:pPr>
        <w:ind w:firstLine="616" w:firstLineChars="200"/>
        <w:rPr>
          <w:rFonts w:ascii="方正小标宋简体" w:eastAsia="方正小标宋简体"/>
        </w:rPr>
      </w:pPr>
      <w:bookmarkStart w:id="0" w:name="_Toc28838"/>
      <w:bookmarkStart w:id="1" w:name="_Toc8021_WPSOffice_Level2"/>
      <w:r>
        <w:rPr>
          <w:rFonts w:hint="eastAsia" w:ascii="方正小标宋简体" w:eastAsia="方正小标宋简体"/>
        </w:rPr>
        <w:t>一、部门基本情况</w:t>
      </w:r>
      <w:bookmarkEnd w:id="0"/>
    </w:p>
    <w:bookmarkEnd w:id="1"/>
    <w:p w14:paraId="13FF684B">
      <w:pPr>
        <w:ind w:firstLine="616" w:firstLineChars="200"/>
        <w:rPr>
          <w:b/>
        </w:rPr>
      </w:pPr>
      <w:bookmarkStart w:id="2" w:name="_Toc30104"/>
      <w:bookmarkStart w:id="3" w:name="_Toc5988_WPSOffice_Level3"/>
      <w:bookmarkStart w:id="4" w:name="_Toc23683"/>
      <w:bookmarkStart w:id="5" w:name="_Toc25996"/>
      <w:bookmarkStart w:id="6" w:name="_Toc14936_WPSOffice_Level2"/>
      <w:r>
        <w:rPr>
          <w:rFonts w:hint="eastAsia"/>
          <w:b/>
        </w:rPr>
        <w:t>（一）部门整体概况</w:t>
      </w:r>
      <w:bookmarkEnd w:id="2"/>
      <w:bookmarkEnd w:id="3"/>
      <w:bookmarkEnd w:id="4"/>
      <w:r>
        <w:rPr>
          <w:rFonts w:hint="eastAsia"/>
          <w:b/>
        </w:rPr>
        <w:t>。</w:t>
      </w:r>
    </w:p>
    <w:p w14:paraId="17883D66">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eastAsia="zh-CN" w:bidi="ar"/>
        </w:rPr>
      </w:pPr>
      <w:bookmarkStart w:id="7" w:name="_Toc18779"/>
      <w:r>
        <w:rPr>
          <w:rFonts w:hint="eastAsia" w:ascii="仿宋_GB2312" w:hAnsi="仿宋_GB2312" w:cs="仿宋_GB2312"/>
          <w:bCs/>
          <w:sz w:val="34"/>
          <w:szCs w:val="34"/>
          <w:lang w:val="en-US" w:eastAsia="zh-CN" w:bidi="ar"/>
        </w:rPr>
        <w:t>1.</w:t>
      </w:r>
      <w:r>
        <w:rPr>
          <w:rFonts w:hint="eastAsia" w:ascii="仿宋_GB2312" w:hAnsi="仿宋_GB2312" w:cs="仿宋_GB2312"/>
          <w:bCs/>
          <w:sz w:val="34"/>
          <w:szCs w:val="34"/>
          <w:lang w:bidi="ar"/>
        </w:rPr>
        <w:t>部门主要职责</w:t>
      </w:r>
      <w:r>
        <w:rPr>
          <w:rFonts w:hint="eastAsia" w:ascii="仿宋_GB2312" w:hAnsi="仿宋_GB2312" w:cs="仿宋_GB2312"/>
          <w:bCs/>
          <w:sz w:val="34"/>
          <w:szCs w:val="34"/>
          <w:lang w:eastAsia="zh-CN" w:bidi="ar"/>
        </w:rPr>
        <w:t>：</w:t>
      </w:r>
    </w:p>
    <w:p w14:paraId="0011DFC5">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eastAsia="zh-CN" w:bidi="ar"/>
        </w:rPr>
        <w:t>（</w:t>
      </w:r>
      <w:r>
        <w:rPr>
          <w:rFonts w:hint="eastAsia" w:ascii="仿宋_GB2312" w:hAnsi="仿宋_GB2312" w:cs="仿宋_GB2312"/>
          <w:bCs/>
          <w:sz w:val="34"/>
          <w:szCs w:val="34"/>
          <w:lang w:val="en-US" w:eastAsia="zh-CN" w:bidi="ar"/>
        </w:rPr>
        <w:t>1</w:t>
      </w:r>
      <w:r>
        <w:rPr>
          <w:rFonts w:hint="eastAsia" w:ascii="仿宋_GB2312" w:hAnsi="仿宋_GB2312" w:cs="仿宋_GB2312"/>
          <w:bCs/>
          <w:sz w:val="34"/>
          <w:szCs w:val="34"/>
          <w:lang w:eastAsia="zh-CN" w:bidi="ar"/>
        </w:rPr>
        <w:t>）</w:t>
      </w:r>
      <w:r>
        <w:rPr>
          <w:rFonts w:hint="eastAsia" w:ascii="仿宋_GB2312" w:hAnsi="仿宋_GB2312" w:cs="仿宋_GB2312"/>
          <w:bCs/>
          <w:sz w:val="34"/>
          <w:szCs w:val="34"/>
          <w:lang w:bidi="ar"/>
        </w:rPr>
        <w:t>贯彻落实党对宣传工作的方针政策和决策部署，拟订宣传工作重要政策和事业发展规划。</w:t>
      </w:r>
    </w:p>
    <w:p w14:paraId="115823BE">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（2）</w:t>
      </w:r>
      <w:r>
        <w:rPr>
          <w:rFonts w:hint="eastAsia" w:ascii="仿宋_GB2312" w:hAnsi="仿宋_GB2312" w:cs="仿宋_GB2312"/>
          <w:bCs/>
          <w:sz w:val="34"/>
          <w:szCs w:val="34"/>
          <w:lang w:bidi="ar"/>
        </w:rPr>
        <w:t>统筹协调意识形态工作。</w:t>
      </w:r>
    </w:p>
    <w:p w14:paraId="4EFB60BD">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（3）</w:t>
      </w:r>
      <w:r>
        <w:rPr>
          <w:rFonts w:hint="eastAsia" w:ascii="仿宋_GB2312" w:hAnsi="仿宋_GB2312" w:cs="仿宋_GB2312"/>
          <w:bCs/>
          <w:sz w:val="34"/>
          <w:szCs w:val="34"/>
          <w:lang w:bidi="ar"/>
        </w:rPr>
        <w:t>指导协调理论研究、学习、宣传工作;</w:t>
      </w:r>
    </w:p>
    <w:p w14:paraId="1E263452">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（4）</w:t>
      </w:r>
      <w:r>
        <w:rPr>
          <w:rFonts w:hint="eastAsia" w:ascii="仿宋_GB2312" w:hAnsi="仿宋_GB2312" w:cs="仿宋_GB2312"/>
          <w:bCs/>
          <w:sz w:val="34"/>
          <w:szCs w:val="34"/>
          <w:lang w:bidi="ar"/>
        </w:rPr>
        <w:t>统筹分析研判和引导社会舆论，协调开展新闻发布工作。</w:t>
      </w:r>
    </w:p>
    <w:p w14:paraId="252109B4">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（5）</w:t>
      </w:r>
      <w:r>
        <w:rPr>
          <w:rFonts w:hint="eastAsia" w:ascii="仿宋_GB2312" w:hAnsi="仿宋_GB2312" w:cs="仿宋_GB2312"/>
          <w:bCs/>
          <w:sz w:val="34"/>
          <w:szCs w:val="34"/>
          <w:lang w:bidi="ar"/>
        </w:rPr>
        <w:t>管理新闻出版和电影工作，组织指导“扫黄打非”工作。</w:t>
      </w:r>
    </w:p>
    <w:p w14:paraId="54CE7D6E">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（6）</w:t>
      </w:r>
      <w:r>
        <w:rPr>
          <w:rFonts w:hint="eastAsia" w:ascii="仿宋_GB2312" w:hAnsi="仿宋_GB2312" w:cs="仿宋_GB2312"/>
          <w:bCs/>
          <w:sz w:val="34"/>
          <w:szCs w:val="34"/>
          <w:lang w:bidi="ar"/>
        </w:rPr>
        <w:t>统筹指导社会主义核心价值观建设，组织指导思想道德建设和思想政治工作，推进群众性精神文明创建;</w:t>
      </w:r>
    </w:p>
    <w:p w14:paraId="3BBA9F46">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（7）</w:t>
      </w:r>
      <w:r>
        <w:rPr>
          <w:rFonts w:hint="eastAsia" w:ascii="仿宋_GB2312" w:hAnsi="仿宋_GB2312" w:cs="仿宋_GB2312"/>
          <w:bCs/>
          <w:sz w:val="34"/>
          <w:szCs w:val="34"/>
          <w:lang w:bidi="ar"/>
        </w:rPr>
        <w:t>统筹协调精神文化产品创作和生产，协调组织中华优秀传统文化传承发展的有关工作，指导协调推动群众文化建设。</w:t>
      </w:r>
    </w:p>
    <w:p w14:paraId="3E09124C">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（8）</w:t>
      </w:r>
      <w:r>
        <w:rPr>
          <w:rFonts w:hint="eastAsia" w:ascii="仿宋_GB2312" w:hAnsi="仿宋_GB2312" w:cs="仿宋_GB2312"/>
          <w:bCs/>
          <w:sz w:val="34"/>
          <w:szCs w:val="34"/>
          <w:lang w:bidi="ar"/>
        </w:rPr>
        <w:t>指导协调文化体制改革和文化事业、文化产业以及旅游业发展，指导协调国有文化资产监管工作;</w:t>
      </w:r>
    </w:p>
    <w:p w14:paraId="116E226B">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（9）</w:t>
      </w:r>
      <w:r>
        <w:rPr>
          <w:rFonts w:hint="eastAsia" w:ascii="仿宋_GB2312" w:hAnsi="仿宋_GB2312" w:cs="仿宋_GB2312"/>
          <w:bCs/>
          <w:sz w:val="34"/>
          <w:szCs w:val="34"/>
          <w:lang w:bidi="ar"/>
        </w:rPr>
        <w:t>宏观指导互联网宣传和信息内容建设管理工作。</w:t>
      </w:r>
    </w:p>
    <w:p w14:paraId="23393EBD">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（10）</w:t>
      </w:r>
      <w:r>
        <w:rPr>
          <w:rFonts w:hint="eastAsia" w:ascii="仿宋_GB2312" w:hAnsi="仿宋_GB2312" w:cs="仿宋_GB2312"/>
          <w:bCs/>
          <w:sz w:val="34"/>
          <w:szCs w:val="34"/>
          <w:lang w:bidi="ar"/>
        </w:rPr>
        <w:t>统筹开展对外宣传工作。</w:t>
      </w:r>
    </w:p>
    <w:p w14:paraId="7EB7FFC9">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（11）</w:t>
      </w:r>
      <w:r>
        <w:rPr>
          <w:rFonts w:hint="eastAsia" w:ascii="仿宋_GB2312" w:hAnsi="仿宋_GB2312" w:cs="仿宋_GB2312"/>
          <w:bCs/>
          <w:sz w:val="34"/>
          <w:szCs w:val="34"/>
          <w:lang w:bidi="ar"/>
        </w:rPr>
        <w:t>统筹指导舆情信息工作;</w:t>
      </w:r>
    </w:p>
    <w:p w14:paraId="4AD233E3">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（12）</w:t>
      </w:r>
      <w:r>
        <w:rPr>
          <w:rFonts w:hint="eastAsia" w:ascii="仿宋_GB2312" w:hAnsi="仿宋_GB2312" w:cs="仿宋_GB2312"/>
          <w:bCs/>
          <w:sz w:val="34"/>
          <w:szCs w:val="34"/>
          <w:lang w:bidi="ar"/>
        </w:rPr>
        <w:t>指导下级党委宣传工作;</w:t>
      </w:r>
    </w:p>
    <w:p w14:paraId="04C4FF3F">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bidi="ar"/>
        </w:rPr>
      </w:pPr>
      <w:r>
        <w:rPr>
          <w:rFonts w:hint="eastAsia" w:ascii="仿宋_GB2312" w:hAnsi="仿宋_GB2312" w:cs="仿宋_GB2312"/>
          <w:bCs/>
          <w:sz w:val="34"/>
          <w:szCs w:val="34"/>
          <w:lang w:val="en-US" w:eastAsia="zh-CN" w:bidi="ar"/>
        </w:rPr>
        <w:t>（13）</w:t>
      </w:r>
      <w:r>
        <w:rPr>
          <w:rFonts w:hint="eastAsia" w:ascii="仿宋_GB2312" w:hAnsi="仿宋_GB2312" w:cs="仿宋_GB2312"/>
          <w:bCs/>
          <w:sz w:val="34"/>
          <w:szCs w:val="34"/>
          <w:lang w:bidi="ar"/>
        </w:rPr>
        <w:t>完成同级党委和上级党委宣传部交办的其他任务。</w:t>
      </w:r>
    </w:p>
    <w:bookmarkEnd w:id="7"/>
    <w:p w14:paraId="2AD39E30">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eastAsia="zh-CN" w:bidi="ar"/>
        </w:rPr>
      </w:pPr>
      <w:r>
        <w:rPr>
          <w:rFonts w:hint="eastAsia" w:ascii="仿宋_GB2312" w:hAnsi="仿宋_GB2312" w:cs="仿宋_GB2312"/>
          <w:bCs/>
          <w:sz w:val="34"/>
          <w:szCs w:val="34"/>
          <w:lang w:val="en-US" w:eastAsia="zh-CN" w:bidi="ar"/>
        </w:rPr>
        <w:t>2.</w:t>
      </w:r>
      <w:r>
        <w:rPr>
          <w:rFonts w:hint="eastAsia" w:ascii="仿宋_GB2312" w:hAnsi="仿宋_GB2312" w:cs="仿宋_GB2312"/>
          <w:bCs/>
          <w:sz w:val="34"/>
          <w:szCs w:val="34"/>
          <w:lang w:bidi="ar"/>
        </w:rPr>
        <w:t>内设机构构成</w:t>
      </w:r>
      <w:bookmarkStart w:id="8" w:name="_Toc2082"/>
      <w:r>
        <w:rPr>
          <w:rFonts w:hint="eastAsia" w:ascii="仿宋_GB2312" w:hAnsi="仿宋_GB2312" w:cs="仿宋_GB2312"/>
          <w:bCs/>
          <w:sz w:val="34"/>
          <w:szCs w:val="34"/>
          <w:lang w:eastAsia="zh-CN" w:bidi="ar"/>
        </w:rPr>
        <w:t>：中共阳西县委宣传部为正科级机关，设有</w:t>
      </w:r>
      <w:r>
        <w:rPr>
          <w:rFonts w:hint="eastAsia" w:ascii="仿宋_GB2312" w:hAnsi="仿宋_GB2312" w:cs="仿宋_GB2312"/>
          <w:bCs/>
          <w:sz w:val="34"/>
          <w:szCs w:val="34"/>
          <w:lang w:val="en-US" w:eastAsia="zh-CN" w:bidi="ar"/>
        </w:rPr>
        <w:t>阳西</w:t>
      </w:r>
      <w:r>
        <w:rPr>
          <w:rFonts w:hint="eastAsia" w:ascii="仿宋_GB2312" w:hAnsi="仿宋_GB2312" w:cs="仿宋_GB2312"/>
          <w:bCs/>
          <w:sz w:val="34"/>
          <w:szCs w:val="34"/>
          <w:lang w:eastAsia="zh-CN" w:bidi="ar"/>
        </w:rPr>
        <w:t>县委网络安全和信息化委员会办公室，对外加挂</w:t>
      </w:r>
      <w:r>
        <w:rPr>
          <w:rFonts w:hint="eastAsia" w:ascii="仿宋_GB2312" w:hAnsi="仿宋_GB2312" w:cs="仿宋_GB2312"/>
          <w:bCs/>
          <w:sz w:val="34"/>
          <w:szCs w:val="34"/>
          <w:lang w:val="en-US" w:eastAsia="zh-CN" w:bidi="ar"/>
        </w:rPr>
        <w:t>阳西</w:t>
      </w:r>
      <w:r>
        <w:rPr>
          <w:rFonts w:hint="eastAsia" w:ascii="仿宋_GB2312" w:hAnsi="仿宋_GB2312" w:cs="仿宋_GB2312"/>
          <w:bCs/>
          <w:sz w:val="34"/>
          <w:szCs w:val="34"/>
          <w:lang w:eastAsia="zh-CN" w:bidi="ar"/>
        </w:rPr>
        <w:t>县人民政府新闻办公室、</w:t>
      </w:r>
      <w:r>
        <w:rPr>
          <w:rFonts w:hint="eastAsia" w:ascii="仿宋_GB2312" w:hAnsi="仿宋_GB2312" w:cs="仿宋_GB2312"/>
          <w:bCs/>
          <w:sz w:val="34"/>
          <w:szCs w:val="34"/>
          <w:lang w:val="en-US" w:eastAsia="zh-CN" w:bidi="ar"/>
        </w:rPr>
        <w:t>阳西</w:t>
      </w:r>
      <w:r>
        <w:rPr>
          <w:rFonts w:hint="eastAsia" w:ascii="仿宋_GB2312" w:hAnsi="仿宋_GB2312" w:cs="仿宋_GB2312"/>
          <w:bCs/>
          <w:sz w:val="34"/>
          <w:szCs w:val="34"/>
          <w:lang w:eastAsia="zh-CN" w:bidi="ar"/>
        </w:rPr>
        <w:t>县精神文明建设办公室、</w:t>
      </w:r>
      <w:r>
        <w:rPr>
          <w:rFonts w:hint="eastAsia" w:ascii="仿宋_GB2312" w:hAnsi="仿宋_GB2312" w:cs="仿宋_GB2312"/>
          <w:bCs/>
          <w:sz w:val="34"/>
          <w:szCs w:val="34"/>
          <w:lang w:val="en-US" w:eastAsia="zh-CN" w:bidi="ar"/>
        </w:rPr>
        <w:t>阳西</w:t>
      </w:r>
      <w:r>
        <w:rPr>
          <w:rFonts w:hint="eastAsia" w:ascii="仿宋_GB2312" w:hAnsi="仿宋_GB2312" w:cs="仿宋_GB2312"/>
          <w:bCs/>
          <w:sz w:val="34"/>
          <w:szCs w:val="34"/>
          <w:lang w:eastAsia="zh-CN" w:bidi="ar"/>
        </w:rPr>
        <w:t>县新闻出版局（县版权局）、</w:t>
      </w:r>
      <w:r>
        <w:rPr>
          <w:rFonts w:hint="eastAsia" w:ascii="仿宋_GB2312" w:hAnsi="仿宋_GB2312" w:cs="仿宋_GB2312"/>
          <w:bCs/>
          <w:sz w:val="34"/>
          <w:szCs w:val="34"/>
          <w:lang w:val="en-US" w:eastAsia="zh-CN" w:bidi="ar"/>
        </w:rPr>
        <w:t>阳西</w:t>
      </w:r>
      <w:r>
        <w:rPr>
          <w:rFonts w:hint="eastAsia" w:ascii="仿宋_GB2312" w:hAnsi="仿宋_GB2312" w:cs="仿宋_GB2312"/>
          <w:bCs/>
          <w:sz w:val="34"/>
          <w:szCs w:val="34"/>
          <w:lang w:eastAsia="zh-CN" w:bidi="ar"/>
        </w:rPr>
        <w:t>县互联网信息办公室，共有7个内设机构和2个正股级公益一类事业单位（阳西县网络安全应急指挥中心和阳西县精神文明建设事务中心），其中内设机构分别是办公室、理论综合股、外宣新闻股、新闻出版股（版权股）、宣传文化股、网络安全和信息化股、精神文明建设股。</w:t>
      </w:r>
    </w:p>
    <w:p w14:paraId="50F4BE25">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eastAsia="宋体"/>
          <w:sz w:val="34"/>
          <w:szCs w:val="34"/>
        </w:rPr>
      </w:pPr>
      <w:r>
        <w:rPr>
          <w:rFonts w:hint="eastAsia" w:ascii="仿宋_GB2312" w:hAnsi="仿宋_GB2312" w:cs="仿宋_GB2312"/>
          <w:bCs/>
          <w:sz w:val="34"/>
          <w:szCs w:val="34"/>
          <w:lang w:val="en-US" w:eastAsia="zh-CN" w:bidi="ar"/>
        </w:rPr>
        <w:t>3.</w:t>
      </w:r>
      <w:bookmarkEnd w:id="8"/>
      <w:r>
        <w:rPr>
          <w:rFonts w:hint="eastAsia" w:ascii="仿宋_GB2312" w:hAnsi="仿宋_GB2312" w:cs="仿宋_GB2312"/>
          <w:bCs/>
          <w:sz w:val="34"/>
          <w:szCs w:val="34"/>
          <w:lang w:bidi="ar"/>
        </w:rPr>
        <w:t>人员编制构成：2025年，本单位人员编制数26人（部长由县委领导兼任，不占用编制，含工勤人员2名），实有在职人数24人（其中部长（县领导）1人、行政编1</w:t>
      </w:r>
      <w:r>
        <w:rPr>
          <w:rFonts w:hint="eastAsia" w:ascii="仿宋_GB2312" w:hAnsi="仿宋_GB2312" w:cs="仿宋_GB2312"/>
          <w:bCs/>
          <w:sz w:val="34"/>
          <w:szCs w:val="34"/>
          <w:lang w:val="en-US" w:eastAsia="zh-CN" w:bidi="ar"/>
        </w:rPr>
        <w:t>0</w:t>
      </w:r>
      <w:r>
        <w:rPr>
          <w:rFonts w:hint="eastAsia" w:ascii="仿宋_GB2312" w:hAnsi="仿宋_GB2312" w:cs="仿宋_GB2312"/>
          <w:bCs/>
          <w:sz w:val="34"/>
          <w:szCs w:val="34"/>
          <w:lang w:bidi="ar"/>
        </w:rPr>
        <w:t>人、事业编11人、机关工勤编2人），退休人员3人。</w:t>
      </w:r>
    </w:p>
    <w:p w14:paraId="6641F82D">
      <w:pPr>
        <w:ind w:firstLine="616" w:firstLineChars="200"/>
        <w:rPr>
          <w:b/>
        </w:rPr>
      </w:pPr>
      <w:r>
        <w:rPr>
          <w:rFonts w:hint="eastAsia"/>
          <w:b/>
        </w:rPr>
        <w:t>（二）年度总体工作和重点工作任务</w:t>
      </w:r>
      <w:bookmarkEnd w:id="5"/>
      <w:bookmarkEnd w:id="6"/>
      <w:r>
        <w:rPr>
          <w:rFonts w:hint="eastAsia"/>
          <w:b/>
        </w:rPr>
        <w:t>。</w:t>
      </w:r>
    </w:p>
    <w:p w14:paraId="4FBECEA0">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cs="仿宋_GB2312"/>
          <w:bCs/>
          <w:sz w:val="34"/>
          <w:szCs w:val="34"/>
          <w:lang w:eastAsia="zh-CN" w:bidi="ar"/>
        </w:rPr>
      </w:pPr>
      <w:r>
        <w:rPr>
          <w:rFonts w:hint="eastAsia" w:ascii="仿宋_GB2312" w:hAnsi="仿宋_GB2312" w:cs="仿宋_GB2312"/>
          <w:bCs/>
          <w:sz w:val="34"/>
          <w:szCs w:val="34"/>
          <w:lang w:val="en-US" w:eastAsia="zh-CN" w:bidi="ar"/>
        </w:rPr>
        <w:t>2025年，全面学习贯彻党的二十大和二十届历次全会精神，深入贯彻落实习近平文化思想，聚力创新攻坚，在举旗帜、聚民心、育新人、兴文化、展形象上实现新突破，为全县经济社会发展提供了有力的思想保证、舆论支持、精神动力和文化条件。</w:t>
      </w:r>
    </w:p>
    <w:p w14:paraId="12A04B6F">
      <w:pPr>
        <w:ind w:firstLine="520"/>
        <w:rPr>
          <w:rFonts w:ascii="仿宋_GB2312" w:hAnsi="仿宋_GB2312" w:cs="仿宋_GB2312"/>
          <w:bCs/>
          <w:sz w:val="26"/>
          <w:szCs w:val="26"/>
        </w:rPr>
      </w:pPr>
      <w:bookmarkStart w:id="9" w:name="_Toc8086"/>
      <w:bookmarkStart w:id="10" w:name="_Toc28424_WPSOffice_Level2"/>
      <w:r>
        <w:rPr>
          <w:rFonts w:hint="eastAsia"/>
          <w:b/>
        </w:rPr>
        <w:t>（三）</w:t>
      </w:r>
      <w:bookmarkEnd w:id="9"/>
      <w:bookmarkEnd w:id="10"/>
      <w:r>
        <w:rPr>
          <w:rFonts w:hint="eastAsia"/>
          <w:b/>
        </w:rPr>
        <w:t>部门整体支出情况。</w:t>
      </w:r>
    </w:p>
    <w:p w14:paraId="52F922E3">
      <w:pPr>
        <w:keepNext w:val="0"/>
        <w:keepLines w:val="0"/>
        <w:pageBreakBefore w:val="0"/>
        <w:widowControl w:val="0"/>
        <w:kinsoku/>
        <w:wordWrap/>
        <w:overflowPunct/>
        <w:topLinePunct w:val="0"/>
        <w:autoSpaceDE/>
        <w:autoSpaceDN/>
        <w:bidi w:val="0"/>
        <w:adjustRightInd/>
        <w:spacing w:line="600" w:lineRule="exact"/>
        <w:ind w:left="0" w:leftChars="0" w:right="0" w:rightChars="0" w:firstLine="520"/>
        <w:jc w:val="both"/>
        <w:textAlignment w:val="auto"/>
        <w:outlineLvl w:val="9"/>
        <w:rPr>
          <w:rFonts w:ascii="仿宋_GB2312" w:hAnsi="仿宋_GB2312" w:cs="仿宋_GB2312"/>
          <w:bCs/>
          <w:color w:val="000000" w:themeColor="text1"/>
          <w:sz w:val="34"/>
          <w:szCs w:val="34"/>
          <w:lang w:bidi="ar"/>
        </w:rPr>
      </w:pPr>
      <w:r>
        <w:rPr>
          <w:rFonts w:hint="eastAsia" w:ascii="仿宋_GB2312" w:hAnsi="仿宋_GB2312" w:cs="仿宋_GB2312"/>
          <w:bCs/>
          <w:color w:val="000000" w:themeColor="text1"/>
          <w:sz w:val="34"/>
          <w:szCs w:val="34"/>
          <w:lang w:val="en-US" w:eastAsia="zh-CN" w:bidi="ar"/>
        </w:rPr>
        <w:t>2025年本单位年初预算数为712.6万元，调整预算数为934.99万元，预算支出数为934.99万元。本单位厉行节约，严格控制三公经费、日常公用经费的使用支出，三公经费支出为2.55万元，日常公用经费支出38.17万元，</w:t>
      </w:r>
      <w:r>
        <w:rPr>
          <w:rFonts w:hint="eastAsia" w:ascii="仿宋_GB2312" w:hAnsi="仿宋_GB2312" w:cs="仿宋_GB2312"/>
          <w:bCs/>
          <w:color w:val="000000" w:themeColor="text1"/>
          <w:sz w:val="34"/>
          <w:szCs w:val="34"/>
          <w:lang w:eastAsia="zh-CN" w:bidi="ar"/>
        </w:rPr>
        <w:t>均在预算范围内。</w:t>
      </w:r>
    </w:p>
    <w:p w14:paraId="26E89EAF">
      <w:pPr>
        <w:ind w:firstLine="520"/>
        <w:rPr>
          <w:b/>
        </w:rPr>
      </w:pPr>
      <w:r>
        <w:rPr>
          <w:rFonts w:hint="eastAsia"/>
          <w:b/>
        </w:rPr>
        <w:t>（四）部门整体支出绩效目标。</w:t>
      </w:r>
    </w:p>
    <w:p w14:paraId="05145665">
      <w:pPr>
        <w:spacing w:line="560" w:lineRule="exact"/>
        <w:ind w:firstLine="656" w:firstLineChars="200"/>
        <w:rPr>
          <w:rFonts w:hint="eastAsia" w:ascii="仿宋" w:hAnsi="仿宋" w:eastAsia="仿宋" w:cs="仿宋"/>
          <w:color w:val="000000" w:themeColor="text1"/>
          <w:sz w:val="34"/>
          <w:szCs w:val="34"/>
        </w:rPr>
      </w:pPr>
      <w:bookmarkStart w:id="11" w:name="_Toc22180"/>
      <w:bookmarkStart w:id="12" w:name="_Toc4514_WPSOffice_Level1"/>
      <w:r>
        <w:rPr>
          <w:rFonts w:hint="eastAsia" w:ascii="仿宋" w:hAnsi="仿宋" w:eastAsia="仿宋" w:cs="仿宋"/>
          <w:color w:val="000000" w:themeColor="text1"/>
          <w:sz w:val="34"/>
          <w:szCs w:val="34"/>
        </w:rPr>
        <w:t>202</w:t>
      </w:r>
      <w:r>
        <w:rPr>
          <w:rFonts w:hint="eastAsia" w:ascii="仿宋" w:hAnsi="仿宋" w:eastAsia="仿宋" w:cs="仿宋"/>
          <w:color w:val="000000" w:themeColor="text1"/>
          <w:sz w:val="34"/>
          <w:szCs w:val="34"/>
          <w:lang w:val="en-US" w:eastAsia="zh-CN"/>
        </w:rPr>
        <w:t>5</w:t>
      </w:r>
      <w:r>
        <w:rPr>
          <w:rFonts w:hint="eastAsia" w:ascii="仿宋" w:hAnsi="仿宋" w:eastAsia="仿宋" w:cs="仿宋"/>
          <w:color w:val="000000" w:themeColor="text1"/>
          <w:sz w:val="34"/>
          <w:szCs w:val="34"/>
        </w:rPr>
        <w:t>年的整体绩效目标主要以习近平新时代中国特色社会主义思想为指导，全面落实文化强国战略，围绕举旗帜、聚民心、育新人、兴文化、展形象的使命任务，推动理论武装、文化繁荣、精神文明、</w:t>
      </w:r>
      <w:r>
        <w:rPr>
          <w:rFonts w:hint="eastAsia" w:ascii="仿宋" w:hAnsi="仿宋" w:eastAsia="仿宋" w:cs="仿宋"/>
          <w:color w:val="000000" w:themeColor="text1"/>
          <w:sz w:val="34"/>
          <w:szCs w:val="34"/>
          <w:lang w:val="en-US" w:eastAsia="zh-CN"/>
        </w:rPr>
        <w:t>对外宣传</w:t>
      </w:r>
      <w:r>
        <w:rPr>
          <w:rFonts w:hint="eastAsia" w:ascii="仿宋" w:hAnsi="仿宋" w:eastAsia="仿宋" w:cs="仿宋"/>
          <w:color w:val="000000" w:themeColor="text1"/>
          <w:sz w:val="34"/>
          <w:szCs w:val="34"/>
        </w:rPr>
        <w:t>等重点领域高质量发展，</w:t>
      </w:r>
      <w:r>
        <w:rPr>
          <w:rFonts w:hint="eastAsia" w:ascii="仿宋" w:hAnsi="仿宋" w:eastAsia="仿宋" w:cs="仿宋"/>
          <w:color w:val="000000" w:themeColor="text1"/>
          <w:sz w:val="34"/>
          <w:szCs w:val="34"/>
          <w:lang w:val="en-US" w:eastAsia="zh-CN"/>
        </w:rPr>
        <w:t>为全县</w:t>
      </w:r>
      <w:r>
        <w:rPr>
          <w:rFonts w:hint="eastAsia" w:ascii="仿宋" w:hAnsi="仿宋" w:eastAsia="仿宋" w:cs="仿宋"/>
          <w:color w:val="000000" w:themeColor="text1"/>
          <w:sz w:val="34"/>
          <w:szCs w:val="34"/>
        </w:rPr>
        <w:t>经济社会发展提供坚强思想保证和强大精神力量。</w:t>
      </w:r>
    </w:p>
    <w:p w14:paraId="468D7F01">
      <w:pPr>
        <w:spacing w:line="560" w:lineRule="exact"/>
        <w:ind w:left="468" w:leftChars="152" w:firstLine="328" w:firstLineChars="100"/>
        <w:rPr>
          <w:rFonts w:hint="eastAsia" w:ascii="仿宋" w:hAnsi="仿宋" w:eastAsia="仿宋" w:cs="仿宋"/>
          <w:b/>
          <w:bCs/>
          <w:color w:val="000000" w:themeColor="text1"/>
          <w:sz w:val="34"/>
          <w:szCs w:val="34"/>
          <w:lang w:val="en-US" w:eastAsia="zh-CN"/>
        </w:rPr>
      </w:pPr>
      <w:r>
        <w:rPr>
          <w:rFonts w:hint="eastAsia" w:ascii="仿宋" w:hAnsi="仿宋" w:eastAsia="仿宋" w:cs="仿宋"/>
          <w:b/>
          <w:bCs/>
          <w:color w:val="000000" w:themeColor="text1"/>
          <w:sz w:val="34"/>
          <w:szCs w:val="34"/>
          <w:lang w:val="en-US" w:eastAsia="zh-CN"/>
        </w:rPr>
        <w:t>一是强化理论武装</w:t>
      </w:r>
    </w:p>
    <w:p w14:paraId="48841A22">
      <w:pPr>
        <w:keepNext w:val="0"/>
        <w:keepLines w:val="0"/>
        <w:pageBreakBefore w:val="0"/>
        <w:widowControl w:val="0"/>
        <w:kinsoku/>
        <w:wordWrap/>
        <w:overflowPunct/>
        <w:topLinePunct w:val="0"/>
        <w:autoSpaceDE/>
        <w:autoSpaceDN/>
        <w:bidi w:val="0"/>
        <w:adjustRightInd/>
        <w:snapToGrid/>
        <w:spacing w:line="560" w:lineRule="exact"/>
        <w:ind w:left="0" w:leftChars="0" w:firstLine="656" w:firstLineChars="200"/>
        <w:textAlignment w:val="auto"/>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lang w:val="en-US" w:eastAsia="zh-CN"/>
        </w:rPr>
        <w:t>绩效目标：加强党的创新理论武装，坚持把学习贯彻习近平新时代中国特色社会主义思想作为首要政治任务，推动全县党员干部在深化、内化、转化上下功夫，助力阳西现代化建设新局面。</w:t>
      </w:r>
    </w:p>
    <w:p w14:paraId="7CB7B2FE">
      <w:pPr>
        <w:keepNext w:val="0"/>
        <w:keepLines w:val="0"/>
        <w:pageBreakBefore w:val="0"/>
        <w:widowControl w:val="0"/>
        <w:kinsoku/>
        <w:wordWrap/>
        <w:overflowPunct/>
        <w:topLinePunct w:val="0"/>
        <w:autoSpaceDE/>
        <w:autoSpaceDN/>
        <w:bidi w:val="0"/>
        <w:adjustRightInd/>
        <w:snapToGrid/>
        <w:spacing w:line="560" w:lineRule="exact"/>
        <w:ind w:left="0" w:leftChars="0" w:firstLine="656" w:firstLineChars="200"/>
        <w:textAlignment w:val="auto"/>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lang w:val="en-US" w:eastAsia="zh-CN"/>
        </w:rPr>
        <w:t>实现情况：一是充分发挥党委（党组）理论学习中心组示范领学作用，2025年共开展阳西县委宣传部理论学习中心组集中研讨会10次，不断强化党员干部理论素养。二是深化党的创新理论的基层宣讲。持续打造“习近平金句方言读”学习品牌，用阳西本地方言朗读“学习强国”平台中的“习近平金句”，制作成音频后送各镇使用“乡村大喇叭”播放，共推出了21期方言读，210条金句；以学习贯彻习近平文化思想为主线，开展阳西县“宣传思想文化大讲堂”系列讲座活动，至今共开展国学文化、诗词文化、美育等专题讲座共7场。三是持续推进“学习强国”学习平台供稿工作，至今全县共有716条稿件被省平台采用，9条被全国平台采用。</w:t>
      </w:r>
    </w:p>
    <w:p w14:paraId="4B835D4F">
      <w:pPr>
        <w:spacing w:line="560" w:lineRule="exact"/>
        <w:ind w:firstLine="656" w:firstLineChars="200"/>
        <w:rPr>
          <w:rFonts w:hint="eastAsia" w:ascii="仿宋" w:hAnsi="仿宋" w:eastAsia="仿宋" w:cs="仿宋"/>
          <w:b/>
          <w:bCs/>
          <w:color w:val="000000" w:themeColor="text1"/>
          <w:sz w:val="34"/>
          <w:szCs w:val="34"/>
          <w:lang w:val="en-US" w:eastAsia="zh-CN"/>
        </w:rPr>
      </w:pPr>
      <w:r>
        <w:rPr>
          <w:rFonts w:hint="eastAsia" w:ascii="仿宋" w:hAnsi="仿宋" w:eastAsia="仿宋" w:cs="仿宋"/>
          <w:b/>
          <w:bCs/>
          <w:color w:val="000000" w:themeColor="text1"/>
          <w:sz w:val="34"/>
          <w:szCs w:val="34"/>
          <w:lang w:val="en-US" w:eastAsia="zh-CN"/>
        </w:rPr>
        <w:t>二是推动文化繁荣</w:t>
      </w:r>
    </w:p>
    <w:p w14:paraId="10DF4A72">
      <w:pPr>
        <w:spacing w:line="560" w:lineRule="exact"/>
        <w:ind w:firstLine="656" w:firstLineChars="200"/>
        <w:rPr>
          <w:rFonts w:hint="eastAsia" w:ascii="仿宋" w:hAnsi="仿宋" w:eastAsia="仿宋" w:cs="仿宋"/>
          <w:color w:val="000000" w:themeColor="text1"/>
          <w:sz w:val="34"/>
          <w:szCs w:val="34"/>
        </w:rPr>
      </w:pPr>
      <w:r>
        <w:rPr>
          <w:rFonts w:hint="eastAsia" w:ascii="仿宋" w:hAnsi="仿宋" w:eastAsia="仿宋" w:cs="仿宋"/>
          <w:color w:val="000000" w:themeColor="text1"/>
          <w:sz w:val="34"/>
          <w:szCs w:val="34"/>
        </w:rPr>
        <w:t>绩效目标：以社会主义核心价值观为引领，以满足人民群众文化需求为出发点和落脚点，开展高质量文化供给工程、加强文化遗产保护利用、创作文艺精品等工作，推动我县文化繁荣发展。</w:t>
      </w:r>
    </w:p>
    <w:p w14:paraId="60A26728">
      <w:pPr>
        <w:spacing w:line="560" w:lineRule="exact"/>
        <w:ind w:firstLine="656" w:firstLineChars="200"/>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rPr>
        <w:t>实现情况：一是深入实施文化惠民工程。统筹组织指导县文广旅体局、县文联等部门广泛开展文化活动。2025年共开展各类文化惠民活动超过</w:t>
      </w:r>
      <w:r>
        <w:rPr>
          <w:rFonts w:hint="eastAsia" w:ascii="仿宋" w:hAnsi="仿宋" w:eastAsia="仿宋" w:cs="仿宋"/>
          <w:color w:val="000000" w:themeColor="text1"/>
          <w:sz w:val="34"/>
          <w:szCs w:val="34"/>
          <w:lang w:val="en-US" w:eastAsia="zh-CN"/>
        </w:rPr>
        <w:t>2000</w:t>
      </w:r>
      <w:r>
        <w:rPr>
          <w:rFonts w:hint="eastAsia" w:ascii="仿宋" w:hAnsi="仿宋" w:eastAsia="仿宋" w:cs="仿宋"/>
          <w:color w:val="000000" w:themeColor="text1"/>
          <w:sz w:val="34"/>
          <w:szCs w:val="34"/>
        </w:rPr>
        <w:t>场，惠及人数超过</w:t>
      </w:r>
      <w:r>
        <w:rPr>
          <w:rFonts w:hint="eastAsia" w:ascii="仿宋" w:hAnsi="仿宋" w:eastAsia="仿宋" w:cs="仿宋"/>
          <w:color w:val="000000" w:themeColor="text1"/>
          <w:sz w:val="34"/>
          <w:szCs w:val="34"/>
          <w:lang w:val="en-US" w:eastAsia="zh-CN"/>
        </w:rPr>
        <w:t>30</w:t>
      </w:r>
      <w:r>
        <w:rPr>
          <w:rFonts w:hint="eastAsia" w:ascii="仿宋" w:hAnsi="仿宋" w:eastAsia="仿宋" w:cs="仿宋"/>
          <w:color w:val="000000" w:themeColor="text1"/>
          <w:sz w:val="34"/>
          <w:szCs w:val="34"/>
        </w:rPr>
        <w:t>万人次。牵头谋划打造阳西</w:t>
      </w:r>
      <w:r>
        <w:rPr>
          <w:rFonts w:hint="eastAsia" w:ascii="仿宋" w:hAnsi="仿宋" w:eastAsia="仿宋" w:cs="仿宋"/>
          <w:color w:val="000000" w:themeColor="text1"/>
          <w:sz w:val="34"/>
          <w:szCs w:val="34"/>
          <w:lang w:val="en-US" w:eastAsia="zh-CN"/>
        </w:rPr>
        <w:t>县</w:t>
      </w:r>
      <w:r>
        <w:rPr>
          <w:rFonts w:hint="eastAsia" w:ascii="仿宋" w:hAnsi="仿宋" w:eastAsia="仿宋" w:cs="仿宋"/>
          <w:color w:val="000000" w:themeColor="text1"/>
          <w:sz w:val="34"/>
          <w:szCs w:val="34"/>
        </w:rPr>
        <w:t>综合文化中心，不断提升公共文化服务水平。二是加强文物和文化</w:t>
      </w:r>
      <w:r>
        <w:rPr>
          <w:rFonts w:hint="eastAsia" w:ascii="仿宋" w:hAnsi="仿宋" w:eastAsia="仿宋" w:cs="仿宋"/>
          <w:color w:val="000000" w:themeColor="text1"/>
          <w:sz w:val="34"/>
          <w:szCs w:val="34"/>
          <w:lang w:eastAsia="zh-CN"/>
        </w:rPr>
        <w:t>遗产</w:t>
      </w:r>
      <w:r>
        <w:rPr>
          <w:rFonts w:hint="eastAsia" w:ascii="仿宋" w:hAnsi="仿宋" w:eastAsia="仿宋" w:cs="仿宋"/>
          <w:color w:val="000000" w:themeColor="text1"/>
          <w:sz w:val="34"/>
          <w:szCs w:val="34"/>
        </w:rPr>
        <w:t>保护传承。联合省社科联驻塘口工作队等部门</w:t>
      </w:r>
      <w:r>
        <w:rPr>
          <w:rFonts w:hint="eastAsia" w:ascii="仿宋" w:hAnsi="仿宋" w:eastAsia="仿宋" w:cs="仿宋"/>
          <w:color w:val="000000" w:themeColor="text1"/>
          <w:sz w:val="34"/>
          <w:szCs w:val="34"/>
          <w:lang w:val="en-US" w:eastAsia="zh-CN"/>
        </w:rPr>
        <w:t>推动</w:t>
      </w:r>
      <w:r>
        <w:rPr>
          <w:rFonts w:hint="eastAsia" w:ascii="仿宋" w:hAnsi="仿宋" w:eastAsia="仿宋" w:cs="仿宋"/>
          <w:color w:val="000000" w:themeColor="text1"/>
          <w:sz w:val="34"/>
          <w:szCs w:val="34"/>
        </w:rPr>
        <w:t>编撰出版《</w:t>
      </w:r>
      <w:r>
        <w:rPr>
          <w:rFonts w:hint="eastAsia" w:ascii="仿宋" w:hAnsi="仿宋" w:eastAsia="仿宋" w:cs="仿宋"/>
          <w:color w:val="000000" w:themeColor="text1"/>
          <w:sz w:val="34"/>
          <w:szCs w:val="34"/>
          <w:lang w:val="en-US" w:eastAsia="zh-CN"/>
        </w:rPr>
        <w:t>发现</w:t>
      </w:r>
      <w:r>
        <w:rPr>
          <w:rFonts w:hint="eastAsia" w:ascii="仿宋" w:hAnsi="仿宋" w:eastAsia="仿宋" w:cs="仿宋"/>
          <w:color w:val="000000" w:themeColor="text1"/>
          <w:sz w:val="34"/>
          <w:szCs w:val="34"/>
        </w:rPr>
        <w:t>古堡：岭南山河间的防御史》。联合县文广旅体局申报广东省革命遗址保护名录。三是</w:t>
      </w:r>
      <w:r>
        <w:rPr>
          <w:rFonts w:hint="eastAsia" w:ascii="仿宋" w:hAnsi="仿宋" w:eastAsia="仿宋" w:cs="仿宋"/>
          <w:color w:val="000000" w:themeColor="text1"/>
          <w:sz w:val="34"/>
          <w:szCs w:val="34"/>
          <w:lang w:val="en-US" w:eastAsia="zh-CN"/>
        </w:rPr>
        <w:t>深化“文艺+”模式</w:t>
      </w:r>
      <w:r>
        <w:rPr>
          <w:rFonts w:hint="eastAsia" w:ascii="仿宋" w:hAnsi="仿宋" w:eastAsia="仿宋" w:cs="仿宋"/>
          <w:color w:val="000000" w:themeColor="text1"/>
          <w:sz w:val="34"/>
          <w:szCs w:val="34"/>
        </w:rPr>
        <w:t>推动全民国防教育工作走深走实。2025年3月，县委宣传部联合县人武部等部门，举办了“壮志领航强军路 山海阳西送精兵”——阳西县国防教育暨2025年上半年欢送新兵入伍文艺晚会。2025年6-7月，联合县人武部在全县8个镇开展了“发挥制度优势 强化责任担当 奋力推动新时代人民武装工作高质量发展”主题宣</w:t>
      </w:r>
      <w:r>
        <w:rPr>
          <w:rFonts w:hint="eastAsia" w:ascii="仿宋" w:hAnsi="仿宋" w:eastAsia="仿宋" w:cs="仿宋"/>
          <w:color w:val="000000" w:themeColor="text1"/>
          <w:sz w:val="34"/>
          <w:szCs w:val="34"/>
          <w:lang w:val="en-US" w:eastAsia="zh-CN"/>
        </w:rPr>
        <w:t>讲</w:t>
      </w:r>
      <w:r>
        <w:rPr>
          <w:rFonts w:hint="eastAsia" w:ascii="仿宋" w:hAnsi="仿宋" w:eastAsia="仿宋" w:cs="仿宋"/>
          <w:color w:val="000000" w:themeColor="text1"/>
          <w:sz w:val="34"/>
          <w:szCs w:val="34"/>
        </w:rPr>
        <w:t>。2025年7月，举办了“爱我国防——广东省第二届军旅歌曲歌咏比赛”阳西赛区歌手选拔赛。</w:t>
      </w:r>
      <w:r>
        <w:rPr>
          <w:rFonts w:hint="eastAsia" w:ascii="仿宋" w:hAnsi="仿宋" w:eastAsia="仿宋" w:cs="仿宋"/>
          <w:color w:val="000000" w:themeColor="text1"/>
          <w:sz w:val="34"/>
          <w:szCs w:val="34"/>
          <w:lang w:val="en-US" w:eastAsia="zh-CN"/>
        </w:rPr>
        <w:t>2025年12月，举办了“迈向新征程 同心铸国防”——2025年阳江市全民国防教育进校园活动。</w:t>
      </w:r>
    </w:p>
    <w:p w14:paraId="1374DED0">
      <w:pPr>
        <w:spacing w:line="560" w:lineRule="exact"/>
        <w:ind w:firstLine="656" w:firstLineChars="200"/>
        <w:rPr>
          <w:rFonts w:hint="eastAsia" w:ascii="仿宋" w:hAnsi="仿宋" w:eastAsia="仿宋" w:cs="仿宋"/>
          <w:b/>
          <w:bCs/>
          <w:color w:val="000000" w:themeColor="text1"/>
          <w:sz w:val="34"/>
          <w:szCs w:val="34"/>
          <w:lang w:val="en-US" w:eastAsia="zh-CN"/>
        </w:rPr>
      </w:pPr>
      <w:r>
        <w:rPr>
          <w:rFonts w:hint="eastAsia" w:ascii="仿宋" w:hAnsi="仿宋" w:eastAsia="仿宋" w:cs="仿宋"/>
          <w:b/>
          <w:bCs/>
          <w:color w:val="000000" w:themeColor="text1"/>
          <w:sz w:val="34"/>
          <w:szCs w:val="34"/>
          <w:lang w:val="en-US" w:eastAsia="zh-CN"/>
        </w:rPr>
        <w:t>三是深化精神文明建设</w:t>
      </w:r>
    </w:p>
    <w:p w14:paraId="6F4A94DB">
      <w:pPr>
        <w:spacing w:line="560" w:lineRule="exact"/>
        <w:ind w:firstLine="656" w:firstLineChars="200"/>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lang w:val="en-US" w:eastAsia="zh-CN"/>
        </w:rPr>
        <w:t>绩效目标：广泛践行社会主义核心价值观，统筹推进文明培育、文明实践、文明创建，形成向上向善的社会氛围，社会文明程度达到新高度。</w:t>
      </w:r>
    </w:p>
    <w:p w14:paraId="6F013E8E">
      <w:pPr>
        <w:spacing w:line="560" w:lineRule="exact"/>
        <w:ind w:firstLine="656" w:firstLineChars="200"/>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lang w:val="en-US" w:eastAsia="zh-CN"/>
        </w:rPr>
        <w:t>实现情况：文明创建有新成效。沙扒镇渡头村、上洋镇双鱼城村获全国文明村，沙扒社区获全国文明单位，程村镇红光村继续保留全国文明村。持续营造线上线下文明宣传氛围，利用《文明阳西》微信公众号发布文明动态。持续做好文明培育工作，积极开展“广东好人”以及省、市、县“新时代好少年”评选。稳步推进“阅享空间”乡镇全覆盖，完成了儒洞镇新时代文明实践所以及上洋镇姚宝光大屋两个乡村文化空间营造提升行动示范点打造工作，升级了织篢镇西湖社区邻里中心“阅享空间”，改造了上洋镇双鱼城村新时代文明实践站、塘口镇人才驿站、沙扒镇来福园村文化服务中心、新墟东水汇咖啡店等“阅享空间”。深入推动农村移风易俗，开展“文明殡葬倡新风 移风易俗过清明”红白理事会主题宣传活动。在传统节日及重大节庆日开展了文明实践活动20余场。举办了“天籁‘乡’音 时代‘粤’章”2025广东乡村歌手阳西选拔赛。开展了“深化文明乡风建设 助力‘百千万工程’”文明实践直通车系列活动。</w:t>
      </w:r>
    </w:p>
    <w:p w14:paraId="0871F707">
      <w:pPr>
        <w:spacing w:line="560" w:lineRule="exact"/>
        <w:ind w:firstLine="656" w:firstLineChars="200"/>
        <w:rPr>
          <w:rFonts w:hint="eastAsia" w:ascii="仿宋" w:hAnsi="仿宋" w:eastAsia="仿宋" w:cs="仿宋"/>
          <w:b/>
          <w:bCs/>
          <w:color w:val="000000" w:themeColor="text1"/>
          <w:sz w:val="34"/>
          <w:szCs w:val="34"/>
          <w:lang w:val="en-US" w:eastAsia="zh-CN"/>
        </w:rPr>
      </w:pPr>
      <w:r>
        <w:rPr>
          <w:rFonts w:hint="eastAsia" w:ascii="仿宋" w:hAnsi="仿宋" w:eastAsia="仿宋" w:cs="仿宋"/>
          <w:b/>
          <w:bCs/>
          <w:color w:val="000000" w:themeColor="text1"/>
          <w:sz w:val="34"/>
          <w:szCs w:val="34"/>
          <w:lang w:val="en-US" w:eastAsia="zh-CN"/>
        </w:rPr>
        <w:t>四是提升对外宣传成效</w:t>
      </w:r>
    </w:p>
    <w:p w14:paraId="7F5C273C">
      <w:pPr>
        <w:spacing w:line="560" w:lineRule="exact"/>
        <w:ind w:firstLine="656" w:firstLineChars="200"/>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lang w:val="en-US" w:eastAsia="zh-CN"/>
        </w:rPr>
        <w:t>绩效目标：借助主流媒体等权威平台，增强阳西对外宣传力度，讲好阳西故事，提升阳西知名度与美誉度。</w:t>
      </w:r>
    </w:p>
    <w:p w14:paraId="67CA8164">
      <w:pPr>
        <w:spacing w:line="560" w:lineRule="exact"/>
        <w:ind w:firstLine="656" w:firstLineChars="200"/>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lang w:val="en-US" w:eastAsia="zh-CN"/>
        </w:rPr>
        <w:t>实现情况：通过与新华社、南方日报、南方农村报、阳江日报等主流媒体合作，显著提升我县的重大活动、特色产业与重大发展成果的相关报道数量与质量。新华社2025年推出《千城百县看中国｜广东阳西：勺嘴鹬“先锋队”来啦！》《千城百县看中国｜广东阳西：第四届程村蚝美食文化宣传周开幕》等9条稿件。</w:t>
      </w:r>
      <w:r>
        <w:rPr>
          <w:rFonts w:hint="eastAsia" w:ascii="仿宋" w:hAnsi="仿宋" w:eastAsia="仿宋" w:cs="仿宋"/>
          <w:color w:val="000000" w:themeColor="text1"/>
          <w:sz w:val="34"/>
          <w:szCs w:val="34"/>
          <w:highlight w:val="none"/>
          <w:lang w:val="en-US" w:eastAsia="zh-CN"/>
        </w:rPr>
        <w:t>南方日报2025年在南方+阳西频道共推出相关稿件1000余条。南方农村报在《南方农村报》报纸刊发2个整版，在南方+客户端发布15篇宣传稿件。</w:t>
      </w:r>
      <w:r>
        <w:rPr>
          <w:rFonts w:hint="eastAsia" w:ascii="仿宋" w:hAnsi="仿宋" w:eastAsia="仿宋" w:cs="仿宋"/>
          <w:color w:val="000000" w:themeColor="text1"/>
          <w:sz w:val="34"/>
          <w:szCs w:val="34"/>
          <w:lang w:val="en-US" w:eastAsia="zh-CN"/>
        </w:rPr>
        <w:t>阳江日报2025年在《阳江日报》刊发8期整版专题宣传，完成10篇“百千万工程”宣传文章推送；在广东阳江发布刊发6期推文，在阳江+、阳江新闻网开设阳西频道并各发布30篇宣传稿件，指派采访团队加强阳西县日常宣传，完成头版宣传10篇，重大宣传15篇。</w:t>
      </w:r>
    </w:p>
    <w:p w14:paraId="616674C9">
      <w:pPr>
        <w:spacing w:line="560" w:lineRule="exact"/>
        <w:ind w:firstLine="656" w:firstLineChars="200"/>
        <w:rPr>
          <w:rFonts w:hint="eastAsia" w:ascii="仿宋" w:hAnsi="仿宋" w:eastAsia="仿宋" w:cs="仿宋"/>
          <w:b/>
          <w:bCs/>
          <w:color w:val="000000" w:themeColor="text1"/>
          <w:sz w:val="34"/>
          <w:szCs w:val="34"/>
          <w:lang w:eastAsia="zh-CN"/>
        </w:rPr>
      </w:pPr>
      <w:r>
        <w:rPr>
          <w:rFonts w:hint="eastAsia" w:ascii="仿宋" w:hAnsi="仿宋" w:eastAsia="仿宋" w:cs="仿宋"/>
          <w:b/>
          <w:bCs/>
          <w:color w:val="000000" w:themeColor="text1"/>
          <w:sz w:val="34"/>
          <w:szCs w:val="34"/>
          <w:lang w:eastAsia="zh-CN"/>
        </w:rPr>
        <w:t>五是切实做好“挂镇包村”联系服务工作</w:t>
      </w:r>
    </w:p>
    <w:p w14:paraId="49DDA557">
      <w:pPr>
        <w:spacing w:line="560" w:lineRule="exact"/>
        <w:ind w:firstLine="656" w:firstLineChars="200"/>
        <w:rPr>
          <w:rFonts w:hint="eastAsia" w:ascii="仿宋" w:hAnsi="仿宋" w:eastAsia="仿宋" w:cs="仿宋"/>
          <w:color w:val="000000" w:themeColor="text1"/>
          <w:sz w:val="34"/>
          <w:szCs w:val="34"/>
          <w:lang w:eastAsia="zh-CN"/>
        </w:rPr>
      </w:pPr>
      <w:r>
        <w:rPr>
          <w:rFonts w:hint="eastAsia" w:ascii="仿宋" w:hAnsi="仿宋" w:eastAsia="仿宋" w:cs="仿宋"/>
          <w:color w:val="000000" w:themeColor="text1"/>
          <w:sz w:val="34"/>
          <w:szCs w:val="34"/>
          <w:lang w:eastAsia="zh-CN"/>
        </w:rPr>
        <w:t>绩效目标：有效推动挂点镇村“百县千镇万村高质量发展工程”工作，切实解决群众急难愁盼问题。</w:t>
      </w:r>
    </w:p>
    <w:p w14:paraId="27ECE49C">
      <w:pPr>
        <w:spacing w:line="560" w:lineRule="exact"/>
        <w:ind w:firstLine="656" w:firstLineChars="200"/>
        <w:rPr>
          <w:rFonts w:hint="eastAsia" w:ascii="仿宋" w:hAnsi="仿宋" w:eastAsia="仿宋" w:cs="仿宋"/>
          <w:color w:val="000000" w:themeColor="text1"/>
          <w:sz w:val="34"/>
          <w:szCs w:val="34"/>
          <w:lang w:val="en-US" w:eastAsia="zh-CN"/>
        </w:rPr>
      </w:pPr>
      <w:r>
        <w:rPr>
          <w:rFonts w:hint="eastAsia" w:ascii="仿宋" w:hAnsi="仿宋" w:eastAsia="仿宋" w:cs="仿宋"/>
          <w:color w:val="000000" w:themeColor="text1"/>
          <w:sz w:val="34"/>
          <w:szCs w:val="34"/>
          <w:lang w:eastAsia="zh-CN"/>
        </w:rPr>
        <w:t>实现情况：深化联系机制，组织党员干部经常性赴沙扒镇月亮湾社区、乌石头村等开展调研，倾听群众的意见建议，协助开展防风防汛、绿美阳西建设等工作。投入经费</w:t>
      </w:r>
      <w:r>
        <w:rPr>
          <w:rFonts w:hint="eastAsia" w:ascii="仿宋" w:hAnsi="仿宋" w:eastAsia="仿宋" w:cs="仿宋"/>
          <w:color w:val="000000" w:themeColor="text1"/>
          <w:sz w:val="34"/>
          <w:szCs w:val="34"/>
          <w:lang w:val="en-US" w:eastAsia="zh-CN"/>
        </w:rPr>
        <w:t>30万元，帮助解决月亮湾社区新时代文明实践站和书屋工作经费不足、沙扒社区困难户修缮危旧房、月亮湾景区公厕不足等10个问题，切实为民办实事，推动挂点镇村“百千万工程”工作走深走实。</w:t>
      </w:r>
    </w:p>
    <w:p w14:paraId="3EA052C5">
      <w:pPr>
        <w:ind w:firstLine="616" w:firstLineChars="200"/>
        <w:rPr>
          <w:rFonts w:ascii="方正小标宋简体" w:eastAsia="方正小标宋简体"/>
        </w:rPr>
      </w:pPr>
      <w:r>
        <w:rPr>
          <w:rFonts w:hint="eastAsia" w:ascii="方正小标宋简体" w:eastAsia="方正小标宋简体"/>
        </w:rPr>
        <w:t>二、绩效自评结论</w:t>
      </w:r>
      <w:bookmarkEnd w:id="11"/>
      <w:bookmarkEnd w:id="12"/>
    </w:p>
    <w:p w14:paraId="2AE1AEA9">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656" w:firstLineChars="200"/>
        <w:jc w:val="both"/>
        <w:textAlignment w:val="auto"/>
        <w:outlineLvl w:val="9"/>
        <w:rPr>
          <w:rFonts w:ascii="方正小标宋简体" w:eastAsia="方正小标宋简体"/>
        </w:rPr>
      </w:pPr>
      <w:bookmarkStart w:id="13" w:name="_Toc2072"/>
      <w:bookmarkStart w:id="14" w:name="_Toc2998_WPSOffice_Level1"/>
      <w:r>
        <w:rPr>
          <w:rFonts w:hint="eastAsia" w:ascii="仿宋_GB2312" w:hAnsi="华文仿宋" w:cs="仿宋_GB2312"/>
          <w:sz w:val="34"/>
          <w:szCs w:val="34"/>
          <w:lang w:val="en-US" w:eastAsia="zh-CN"/>
        </w:rPr>
        <w:t>2025年度</w:t>
      </w:r>
      <w:r>
        <w:rPr>
          <w:rFonts w:hint="eastAsia" w:ascii="仿宋_GB2312" w:hAnsi="华文仿宋" w:cs="仿宋_GB2312"/>
          <w:sz w:val="34"/>
          <w:szCs w:val="34"/>
          <w:lang w:eastAsia="zh-CN"/>
        </w:rPr>
        <w:t>本单位认真履行工作职责，基本能按时完成县委县政府交待的工作任务以及单位预算内的工作项目，</w:t>
      </w:r>
      <w:r>
        <w:rPr>
          <w:rFonts w:hint="eastAsia" w:ascii="仿宋_GB2312" w:hAnsi="华文仿宋" w:cs="仿宋_GB2312"/>
          <w:sz w:val="34"/>
          <w:szCs w:val="34"/>
        </w:rPr>
        <w:t>整体支出绩效</w:t>
      </w:r>
      <w:r>
        <w:rPr>
          <w:rFonts w:hint="eastAsia" w:ascii="仿宋_GB2312" w:hAnsi="华文仿宋" w:cs="仿宋_GB2312"/>
          <w:sz w:val="34"/>
          <w:szCs w:val="34"/>
          <w:lang w:eastAsia="zh-CN"/>
        </w:rPr>
        <w:t>目标完成良好，自评分数</w:t>
      </w:r>
      <w:r>
        <w:rPr>
          <w:rFonts w:hint="eastAsia" w:ascii="仿宋_GB2312" w:hAnsi="华文仿宋" w:cs="仿宋_GB2312"/>
          <w:sz w:val="34"/>
          <w:szCs w:val="34"/>
          <w:lang w:val="en-US" w:eastAsia="zh-CN"/>
        </w:rPr>
        <w:t>100分，等级优秀。</w:t>
      </w:r>
    </w:p>
    <w:p w14:paraId="60569333">
      <w:pPr>
        <w:ind w:firstLine="616" w:firstLineChars="200"/>
        <w:rPr>
          <w:rFonts w:ascii="方正小标宋简体" w:eastAsia="方正小标宋简体"/>
        </w:rPr>
      </w:pPr>
      <w:r>
        <w:rPr>
          <w:rFonts w:hint="eastAsia" w:ascii="方正小标宋简体" w:eastAsia="方正小标宋简体"/>
        </w:rPr>
        <w:t>三、绩效自评分析</w:t>
      </w:r>
      <w:bookmarkEnd w:id="13"/>
      <w:bookmarkEnd w:id="14"/>
    </w:p>
    <w:p w14:paraId="729CE53A">
      <w:pPr>
        <w:ind w:firstLine="616" w:firstLineChars="200"/>
        <w:rPr>
          <w:b/>
        </w:rPr>
      </w:pPr>
      <w:bookmarkStart w:id="15" w:name="_Toc22677"/>
      <w:bookmarkStart w:id="16" w:name="_Toc27392_WPSOffice_Level2"/>
      <w:bookmarkStart w:id="17" w:name="_Toc19924"/>
      <w:bookmarkStart w:id="18" w:name="_Toc26765_WPSOffice_Level3"/>
      <w:r>
        <w:rPr>
          <w:rFonts w:hint="eastAsia"/>
          <w:b/>
        </w:rPr>
        <w:t>（一）预算编制情况</w:t>
      </w:r>
      <w:bookmarkEnd w:id="15"/>
      <w:bookmarkEnd w:id="16"/>
      <w:bookmarkEnd w:id="17"/>
      <w:bookmarkEnd w:id="18"/>
      <w:r>
        <w:rPr>
          <w:rFonts w:hint="eastAsia"/>
          <w:b/>
        </w:rPr>
        <w:t>。</w:t>
      </w:r>
    </w:p>
    <w:p w14:paraId="168F74BB">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sz w:val="34"/>
          <w:szCs w:val="34"/>
        </w:rPr>
      </w:pPr>
      <w:bookmarkStart w:id="19" w:name="_Toc4521"/>
      <w:bookmarkStart w:id="20" w:name="_Toc5828_WPSOffice_Level3"/>
      <w:bookmarkStart w:id="21" w:name="_Toc19200_WPSOffice_Level2"/>
      <w:bookmarkStart w:id="22" w:name="_Toc32482"/>
      <w:bookmarkStart w:id="23" w:name="_Toc13662"/>
      <w:r>
        <w:rPr>
          <w:rFonts w:hint="eastAsia" w:ascii="仿宋_GB2312" w:hAnsi="仿宋_GB2312" w:cs="仿宋_GB2312"/>
          <w:sz w:val="34"/>
          <w:szCs w:val="34"/>
          <w:lang w:bidi="ar"/>
        </w:rPr>
        <w:t>1.预算编制合理性及规范性。</w:t>
      </w:r>
      <w:bookmarkEnd w:id="19"/>
    </w:p>
    <w:p w14:paraId="68C27C11">
      <w:pPr>
        <w:ind w:firstLine="656" w:firstLineChars="200"/>
        <w:rPr>
          <w:rFonts w:ascii="仿宋_GB2312" w:hAnsi="仿宋_GB2312" w:cs="仿宋_GB2312"/>
          <w:sz w:val="34"/>
          <w:szCs w:val="34"/>
          <w:lang w:bidi="ar"/>
        </w:rPr>
      </w:pPr>
      <w:bookmarkStart w:id="24" w:name="_Toc8156"/>
      <w:r>
        <w:rPr>
          <w:rFonts w:hint="eastAsia" w:ascii="仿宋_GB2312" w:hAnsi="仿宋_GB2312" w:cs="仿宋_GB2312"/>
          <w:sz w:val="34"/>
          <w:szCs w:val="34"/>
          <w:lang w:eastAsia="zh-CN" w:bidi="ar"/>
        </w:rPr>
        <w:t>本单位预算编制</w:t>
      </w:r>
      <w:r>
        <w:rPr>
          <w:rFonts w:hint="eastAsia" w:ascii="仿宋_GB2312" w:hAnsi="仿宋_GB2312" w:cs="仿宋_GB2312"/>
          <w:sz w:val="34"/>
          <w:szCs w:val="34"/>
          <w:lang w:bidi="ar"/>
        </w:rPr>
        <w:t>符合部门职责</w:t>
      </w:r>
      <w:r>
        <w:rPr>
          <w:rFonts w:hint="eastAsia" w:ascii="仿宋_GB2312" w:hAnsi="仿宋_GB2312" w:cs="仿宋_GB2312"/>
          <w:sz w:val="34"/>
          <w:szCs w:val="34"/>
          <w:lang w:eastAsia="zh-CN" w:bidi="ar"/>
        </w:rPr>
        <w:t>以及</w:t>
      </w:r>
      <w:r>
        <w:rPr>
          <w:rFonts w:hint="eastAsia" w:ascii="仿宋_GB2312" w:hAnsi="仿宋_GB2312" w:cs="仿宋_GB2312"/>
          <w:sz w:val="34"/>
          <w:szCs w:val="34"/>
          <w:lang w:bidi="ar"/>
        </w:rPr>
        <w:t>县委县政府的方针政策和工作要求，资金分配</w:t>
      </w:r>
      <w:r>
        <w:rPr>
          <w:rFonts w:hint="eastAsia" w:ascii="仿宋_GB2312" w:hAnsi="仿宋_GB2312" w:cs="仿宋_GB2312"/>
          <w:sz w:val="34"/>
          <w:szCs w:val="34"/>
          <w:lang w:eastAsia="zh-CN" w:bidi="ar"/>
        </w:rPr>
        <w:t>合理，</w:t>
      </w:r>
      <w:r>
        <w:rPr>
          <w:rFonts w:hint="eastAsia" w:ascii="仿宋_GB2312" w:hAnsi="仿宋_GB2312" w:cs="仿宋_GB2312"/>
          <w:sz w:val="34"/>
          <w:szCs w:val="34"/>
          <w:lang w:bidi="ar"/>
        </w:rPr>
        <w:t>符合规范性要求，</w:t>
      </w:r>
      <w:r>
        <w:rPr>
          <w:rFonts w:hint="eastAsia" w:ascii="仿宋_GB2312" w:hAnsi="仿宋_GB2312" w:cs="仿宋_GB2312"/>
          <w:sz w:val="34"/>
          <w:szCs w:val="34"/>
          <w:lang w:eastAsia="zh-CN" w:bidi="ar"/>
        </w:rPr>
        <w:t>严格</w:t>
      </w:r>
      <w:r>
        <w:rPr>
          <w:rFonts w:hint="eastAsia" w:ascii="仿宋_GB2312" w:hAnsi="仿宋_GB2312" w:cs="仿宋_GB2312"/>
          <w:sz w:val="34"/>
          <w:szCs w:val="34"/>
          <w:lang w:bidi="ar"/>
        </w:rPr>
        <w:t>按照县财政部门有关预算编制的原则</w:t>
      </w:r>
      <w:r>
        <w:rPr>
          <w:rFonts w:hint="eastAsia" w:ascii="仿宋_GB2312" w:hAnsi="仿宋_GB2312" w:cs="仿宋_GB2312"/>
          <w:sz w:val="34"/>
          <w:szCs w:val="34"/>
          <w:lang w:eastAsia="zh-CN" w:bidi="ar"/>
        </w:rPr>
        <w:t>，</w:t>
      </w:r>
      <w:r>
        <w:rPr>
          <w:rFonts w:hint="eastAsia" w:ascii="仿宋_GB2312" w:hAnsi="仿宋_GB2312" w:cs="仿宋_GB2312"/>
          <w:sz w:val="34"/>
          <w:szCs w:val="34"/>
          <w:lang w:bidi="ar"/>
        </w:rPr>
        <w:t>达到规范、完整、细致的要求。</w:t>
      </w:r>
    </w:p>
    <w:p w14:paraId="54F06271">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eastAsia="宋体"/>
          <w:sz w:val="34"/>
          <w:szCs w:val="34"/>
        </w:rPr>
      </w:pPr>
      <w:r>
        <w:rPr>
          <w:rFonts w:hint="eastAsia" w:ascii="仿宋_GB2312" w:hAnsi="仿宋_GB2312" w:cs="仿宋_GB2312"/>
          <w:sz w:val="34"/>
          <w:szCs w:val="34"/>
          <w:lang w:bidi="ar"/>
        </w:rPr>
        <w:t>2.目标设置情况。</w:t>
      </w:r>
      <w:bookmarkEnd w:id="24"/>
    </w:p>
    <w:p w14:paraId="4403C1C3">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b/>
          <w:sz w:val="34"/>
          <w:szCs w:val="34"/>
        </w:rPr>
      </w:pPr>
      <w:r>
        <w:rPr>
          <w:rFonts w:hint="eastAsia" w:ascii="仿宋_GB2312" w:hAnsi="仿宋_GB2312" w:cs="仿宋_GB2312"/>
          <w:sz w:val="34"/>
          <w:szCs w:val="34"/>
          <w:lang w:eastAsia="zh-CN" w:bidi="ar"/>
        </w:rPr>
        <w:t>本单位</w:t>
      </w:r>
      <w:r>
        <w:rPr>
          <w:rFonts w:hint="eastAsia" w:ascii="仿宋_GB2312" w:hAnsi="仿宋_GB2312" w:cs="仿宋_GB2312"/>
          <w:sz w:val="34"/>
          <w:szCs w:val="34"/>
          <w:lang w:bidi="ar"/>
        </w:rPr>
        <w:t>设立的整体绩效目标依据充分，符合客观实际</w:t>
      </w:r>
      <w:r>
        <w:rPr>
          <w:rFonts w:hint="eastAsia" w:ascii="仿宋_GB2312" w:hAnsi="仿宋_GB2312" w:cs="仿宋_GB2312"/>
          <w:sz w:val="34"/>
          <w:szCs w:val="34"/>
          <w:lang w:eastAsia="zh-CN" w:bidi="ar"/>
        </w:rPr>
        <w:t>，</w:t>
      </w:r>
      <w:r>
        <w:rPr>
          <w:rFonts w:hint="eastAsia" w:ascii="仿宋_GB2312" w:hAnsi="仿宋_GB2312" w:cs="仿宋_GB2312"/>
          <w:sz w:val="34"/>
          <w:szCs w:val="34"/>
          <w:lang w:bidi="ar"/>
        </w:rPr>
        <w:t>按</w:t>
      </w:r>
      <w:r>
        <w:rPr>
          <w:rFonts w:hint="eastAsia" w:ascii="仿宋_GB2312" w:hAnsi="仿宋_GB2312" w:cs="仿宋_GB2312"/>
          <w:sz w:val="34"/>
          <w:szCs w:val="34"/>
          <w:lang w:eastAsia="zh-CN" w:bidi="ar"/>
        </w:rPr>
        <w:t>县财政部门</w:t>
      </w:r>
      <w:r>
        <w:rPr>
          <w:rFonts w:hint="eastAsia" w:ascii="仿宋_GB2312" w:hAnsi="仿宋_GB2312" w:cs="仿宋_GB2312"/>
          <w:sz w:val="34"/>
          <w:szCs w:val="34"/>
          <w:lang w:bidi="ar"/>
        </w:rPr>
        <w:t>要求设置并申报部门整体绩效目标及项目绩效目标，覆盖全面、内容完整</w:t>
      </w:r>
      <w:r>
        <w:rPr>
          <w:rFonts w:hint="eastAsia" w:ascii="仿宋_GB2312" w:hAnsi="仿宋_GB2312" w:cs="仿宋_GB2312"/>
          <w:sz w:val="34"/>
          <w:szCs w:val="34"/>
          <w:lang w:eastAsia="zh-CN" w:bidi="ar"/>
        </w:rPr>
        <w:t>，</w:t>
      </w:r>
      <w:r>
        <w:rPr>
          <w:rFonts w:hint="eastAsia" w:ascii="仿宋_GB2312" w:hAnsi="仿宋_GB2312" w:cs="仿宋_GB2312"/>
          <w:sz w:val="34"/>
          <w:szCs w:val="34"/>
          <w:lang w:bidi="ar"/>
        </w:rPr>
        <w:t>依据整体绩效目标所设定的绩效指标清晰、细化、可量化</w:t>
      </w:r>
      <w:r>
        <w:rPr>
          <w:rFonts w:hint="eastAsia" w:ascii="仿宋_GB2312" w:hAnsi="仿宋_GB2312" w:cs="仿宋_GB2312"/>
          <w:sz w:val="34"/>
          <w:szCs w:val="34"/>
          <w:lang w:eastAsia="zh-CN" w:bidi="ar"/>
        </w:rPr>
        <w:t>。</w:t>
      </w:r>
    </w:p>
    <w:p w14:paraId="17463A37">
      <w:pPr>
        <w:ind w:firstLine="616" w:firstLineChars="200"/>
        <w:rPr>
          <w:b/>
        </w:rPr>
      </w:pPr>
      <w:r>
        <w:rPr>
          <w:rFonts w:hint="eastAsia"/>
          <w:b/>
        </w:rPr>
        <w:t>（二）预算执行情况</w:t>
      </w:r>
      <w:bookmarkEnd w:id="20"/>
      <w:bookmarkEnd w:id="21"/>
      <w:bookmarkEnd w:id="22"/>
      <w:bookmarkEnd w:id="23"/>
      <w:r>
        <w:rPr>
          <w:rFonts w:hint="eastAsia"/>
          <w:b/>
        </w:rPr>
        <w:t>。</w:t>
      </w:r>
    </w:p>
    <w:p w14:paraId="2D77D690">
      <w:pPr>
        <w:keepNext w:val="0"/>
        <w:keepLines w:val="0"/>
        <w:pageBreakBefore w:val="0"/>
        <w:widowControl w:val="0"/>
        <w:kinsoku/>
        <w:wordWrap/>
        <w:overflowPunct/>
        <w:topLinePunct w:val="0"/>
        <w:autoSpaceDE/>
        <w:autoSpaceDN/>
        <w:bidi w:val="0"/>
        <w:adjustRightInd/>
        <w:spacing w:line="600" w:lineRule="exact"/>
        <w:ind w:left="0" w:leftChars="0" w:right="0" w:rightChars="0" w:firstLine="984" w:firstLineChars="300"/>
        <w:jc w:val="both"/>
        <w:textAlignment w:val="auto"/>
        <w:outlineLvl w:val="9"/>
        <w:rPr>
          <w:rFonts w:ascii="仿宋_GB2312" w:hAnsi="仿宋_GB2312" w:cs="仿宋_GB2312"/>
          <w:bCs/>
          <w:sz w:val="34"/>
          <w:szCs w:val="34"/>
          <w:lang w:bidi="ar"/>
        </w:rPr>
      </w:pPr>
      <w:bookmarkStart w:id="25" w:name="_Toc14900"/>
      <w:bookmarkStart w:id="26" w:name="_Toc20443_WPSOffice_Level3"/>
      <w:bookmarkStart w:id="27" w:name="_Toc26860"/>
      <w:bookmarkStart w:id="28" w:name="_Toc15901_WPSOffice_Level2"/>
      <w:r>
        <w:rPr>
          <w:rFonts w:hint="eastAsia" w:ascii="仿宋_GB2312" w:hAnsi="仿宋_GB2312" w:cs="仿宋_GB2312"/>
          <w:sz w:val="34"/>
          <w:szCs w:val="34"/>
          <w:lang w:bidi="ar"/>
        </w:rPr>
        <w:t>1.制度管理。</w:t>
      </w:r>
    </w:p>
    <w:p w14:paraId="3BD9BFC9">
      <w:pPr>
        <w:keepNext w:val="0"/>
        <w:keepLines w:val="0"/>
        <w:pageBreakBefore w:val="0"/>
        <w:widowControl w:val="0"/>
        <w:kinsoku/>
        <w:wordWrap/>
        <w:overflowPunct/>
        <w:topLinePunct w:val="0"/>
        <w:autoSpaceDE/>
        <w:autoSpaceDN/>
        <w:bidi w:val="0"/>
        <w:adjustRightInd/>
        <w:spacing w:line="600" w:lineRule="exact"/>
        <w:ind w:left="0" w:leftChars="0" w:right="0" w:rightChars="0" w:firstLine="984" w:firstLineChars="300"/>
        <w:jc w:val="both"/>
        <w:textAlignment w:val="auto"/>
        <w:outlineLvl w:val="9"/>
        <w:rPr>
          <w:rFonts w:hint="eastAsia" w:ascii="仿宋_GB2312" w:hAnsi="仿宋_GB2312" w:cs="仿宋_GB2312"/>
          <w:sz w:val="34"/>
          <w:szCs w:val="34"/>
          <w:lang w:eastAsia="zh-CN" w:bidi="ar"/>
        </w:rPr>
      </w:pPr>
      <w:bookmarkStart w:id="29" w:name="_Toc3319"/>
      <w:r>
        <w:rPr>
          <w:rFonts w:hint="eastAsia" w:ascii="仿宋_GB2312" w:hAnsi="仿宋_GB2312" w:cs="仿宋_GB2312"/>
          <w:sz w:val="34"/>
          <w:szCs w:val="34"/>
          <w:lang w:eastAsia="zh-CN" w:bidi="ar"/>
        </w:rPr>
        <w:t>本单位制定了</w:t>
      </w:r>
      <w:r>
        <w:rPr>
          <w:rFonts w:hint="eastAsia" w:ascii="仿宋_GB2312" w:hAnsi="仿宋_GB2312" w:cs="仿宋_GB2312"/>
          <w:sz w:val="34"/>
          <w:szCs w:val="34"/>
          <w:lang w:bidi="ar"/>
        </w:rPr>
        <w:t>《县委宣传部财务管理制度》</w:t>
      </w:r>
      <w:r>
        <w:rPr>
          <w:rFonts w:hint="eastAsia" w:ascii="仿宋_GB2312" w:hAnsi="仿宋_GB2312" w:cs="仿宋_GB2312"/>
          <w:sz w:val="34"/>
          <w:szCs w:val="34"/>
          <w:lang w:eastAsia="zh-CN" w:bidi="ar"/>
        </w:rPr>
        <w:t>，其中</w:t>
      </w:r>
      <w:r>
        <w:rPr>
          <w:rFonts w:hint="eastAsia" w:ascii="仿宋_GB2312" w:hAnsi="仿宋_GB2312" w:cs="仿宋_GB2312"/>
          <w:sz w:val="34"/>
          <w:szCs w:val="34"/>
          <w:lang w:bidi="ar"/>
        </w:rPr>
        <w:t>包含了收入管理、费用管理、资金管理、结余管理、办公设备、用品等采购管理、维修维护管理、资产负债管理、固定资产折旧管理等方面</w:t>
      </w:r>
      <w:r>
        <w:rPr>
          <w:rFonts w:hint="eastAsia" w:ascii="仿宋_GB2312" w:hAnsi="仿宋_GB2312" w:cs="仿宋_GB2312"/>
          <w:sz w:val="34"/>
          <w:szCs w:val="34"/>
          <w:lang w:eastAsia="zh-CN" w:bidi="ar"/>
        </w:rPr>
        <w:t>，并严格按照制度执行。</w:t>
      </w:r>
    </w:p>
    <w:p w14:paraId="710067A2">
      <w:pPr>
        <w:keepNext w:val="0"/>
        <w:keepLines w:val="0"/>
        <w:pageBreakBefore w:val="0"/>
        <w:widowControl w:val="0"/>
        <w:kinsoku/>
        <w:wordWrap/>
        <w:overflowPunct/>
        <w:topLinePunct w:val="0"/>
        <w:autoSpaceDE/>
        <w:autoSpaceDN/>
        <w:bidi w:val="0"/>
        <w:adjustRightInd/>
        <w:spacing w:line="600" w:lineRule="exact"/>
        <w:ind w:left="0" w:leftChars="0" w:right="0" w:rightChars="0" w:firstLine="984" w:firstLineChars="300"/>
        <w:jc w:val="both"/>
        <w:textAlignment w:val="auto"/>
        <w:outlineLvl w:val="9"/>
        <w:rPr>
          <w:rFonts w:ascii="仿宋_GB2312" w:hAnsi="仿宋_GB2312" w:cs="仿宋_GB2312"/>
          <w:bCs/>
          <w:sz w:val="34"/>
          <w:szCs w:val="34"/>
          <w:lang w:bidi="ar"/>
        </w:rPr>
      </w:pPr>
      <w:r>
        <w:rPr>
          <w:rFonts w:hint="eastAsia" w:ascii="仿宋_GB2312" w:hAnsi="仿宋_GB2312" w:cs="仿宋_GB2312"/>
          <w:sz w:val="34"/>
          <w:szCs w:val="34"/>
          <w:lang w:bidi="ar"/>
        </w:rPr>
        <w:t>2.资金管理。</w:t>
      </w:r>
      <w:bookmarkEnd w:id="29"/>
    </w:p>
    <w:p w14:paraId="7180D7FD">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ascii="仿宋_GB2312" w:hAnsi="仿宋_GB2312" w:cs="仿宋_GB2312"/>
          <w:bCs/>
          <w:sz w:val="34"/>
          <w:szCs w:val="34"/>
          <w:lang w:bidi="ar"/>
        </w:rPr>
      </w:pPr>
      <w:r>
        <w:rPr>
          <w:rFonts w:hint="eastAsia" w:ascii="仿宋_GB2312" w:hAnsi="仿宋_GB2312" w:cs="仿宋_GB2312"/>
          <w:bCs/>
          <w:sz w:val="34"/>
          <w:szCs w:val="34"/>
          <w:lang w:eastAsia="zh-CN" w:bidi="ar"/>
        </w:rPr>
        <w:t>本单位资金按时下达，预算支出完成度为</w:t>
      </w:r>
      <w:r>
        <w:rPr>
          <w:rFonts w:hint="eastAsia" w:ascii="仿宋_GB2312" w:hAnsi="仿宋_GB2312" w:cs="仿宋_GB2312"/>
          <w:bCs/>
          <w:sz w:val="34"/>
          <w:szCs w:val="34"/>
          <w:lang w:val="en-US" w:eastAsia="zh-CN" w:bidi="ar"/>
        </w:rPr>
        <w:t>100%，按照政府采购预算进行政府采购，预算执行规范、事项支出规范、会计核算规范，预决算信息按时公开。</w:t>
      </w:r>
    </w:p>
    <w:p w14:paraId="0F4CA9C0">
      <w:pPr>
        <w:keepNext w:val="0"/>
        <w:keepLines w:val="0"/>
        <w:pageBreakBefore w:val="0"/>
        <w:widowControl w:val="0"/>
        <w:kinsoku/>
        <w:wordWrap/>
        <w:overflowPunct/>
        <w:topLinePunct w:val="0"/>
        <w:autoSpaceDE/>
        <w:autoSpaceDN/>
        <w:bidi w:val="0"/>
        <w:adjustRightInd/>
        <w:spacing w:line="600" w:lineRule="exact"/>
        <w:ind w:left="0" w:leftChars="0" w:right="0" w:rightChars="0" w:firstLine="984" w:firstLineChars="300"/>
        <w:jc w:val="both"/>
        <w:textAlignment w:val="auto"/>
        <w:outlineLvl w:val="9"/>
        <w:rPr>
          <w:rFonts w:ascii="仿宋_GB2312" w:hAnsi="仿宋_GB2312" w:cs="仿宋_GB2312"/>
          <w:sz w:val="34"/>
          <w:szCs w:val="34"/>
          <w:lang w:bidi="ar"/>
        </w:rPr>
      </w:pPr>
      <w:bookmarkStart w:id="30" w:name="_Toc29827"/>
      <w:r>
        <w:rPr>
          <w:rFonts w:hint="eastAsia" w:ascii="仿宋_GB2312" w:hAnsi="仿宋_GB2312" w:cs="仿宋_GB2312"/>
          <w:sz w:val="34"/>
          <w:szCs w:val="34"/>
          <w:lang w:bidi="ar"/>
        </w:rPr>
        <w:t>3.项目管理。</w:t>
      </w:r>
      <w:bookmarkEnd w:id="30"/>
    </w:p>
    <w:p w14:paraId="6668AFBC">
      <w:pPr>
        <w:keepNext w:val="0"/>
        <w:keepLines w:val="0"/>
        <w:pageBreakBefore w:val="0"/>
        <w:widowControl w:val="0"/>
        <w:kinsoku/>
        <w:wordWrap/>
        <w:overflowPunct/>
        <w:topLinePunct w:val="0"/>
        <w:autoSpaceDE/>
        <w:autoSpaceDN/>
        <w:bidi w:val="0"/>
        <w:adjustRightInd/>
        <w:spacing w:line="600" w:lineRule="exact"/>
        <w:ind w:left="0" w:leftChars="0" w:right="0" w:rightChars="0" w:firstLine="984" w:firstLineChars="300"/>
        <w:jc w:val="both"/>
        <w:textAlignment w:val="auto"/>
        <w:outlineLvl w:val="9"/>
        <w:rPr>
          <w:rFonts w:ascii="仿宋_GB2312" w:hAnsi="仿宋_GB2312" w:cs="仿宋_GB2312"/>
          <w:sz w:val="34"/>
          <w:szCs w:val="34"/>
          <w:lang w:bidi="ar"/>
        </w:rPr>
      </w:pPr>
      <w:r>
        <w:rPr>
          <w:rFonts w:hint="eastAsia" w:ascii="仿宋_GB2312" w:hAnsi="仿宋_GB2312" w:cs="仿宋_GB2312"/>
          <w:sz w:val="34"/>
          <w:szCs w:val="34"/>
          <w:lang w:eastAsia="zh-CN" w:bidi="ar"/>
        </w:rPr>
        <w:t>本单位</w:t>
      </w:r>
      <w:r>
        <w:rPr>
          <w:rFonts w:hint="eastAsia" w:ascii="仿宋_GB2312" w:hAnsi="仿宋_GB2312" w:cs="仿宋_GB2312"/>
          <w:sz w:val="34"/>
          <w:szCs w:val="34"/>
          <w:lang w:bidi="ar"/>
        </w:rPr>
        <w:t>项目支出实施过程规范,</w:t>
      </w:r>
      <w:r>
        <w:rPr>
          <w:rFonts w:hint="eastAsia" w:ascii="仿宋_GB2312" w:hAnsi="仿宋_GB2312" w:cs="仿宋_GB2312"/>
          <w:sz w:val="34"/>
          <w:szCs w:val="34"/>
          <w:lang w:eastAsia="zh-CN" w:bidi="ar"/>
        </w:rPr>
        <w:t>所有项目均纳入预算编制或有县委领导批示，需</w:t>
      </w:r>
      <w:r>
        <w:rPr>
          <w:rFonts w:hint="eastAsia" w:ascii="仿宋_GB2312" w:hAnsi="仿宋_GB2312" w:cs="仿宋_GB2312"/>
          <w:sz w:val="34"/>
          <w:szCs w:val="34"/>
          <w:lang w:bidi="ar"/>
        </w:rPr>
        <w:t>申报、批复</w:t>
      </w:r>
      <w:r>
        <w:rPr>
          <w:rFonts w:hint="eastAsia" w:ascii="仿宋_GB2312" w:hAnsi="仿宋_GB2312" w:cs="仿宋_GB2312"/>
          <w:sz w:val="34"/>
          <w:szCs w:val="34"/>
          <w:lang w:eastAsia="zh-CN" w:bidi="ar"/>
        </w:rPr>
        <w:t>的</w:t>
      </w:r>
      <w:r>
        <w:rPr>
          <w:rFonts w:hint="eastAsia" w:ascii="仿宋_GB2312" w:hAnsi="仿宋_GB2312" w:cs="仿宋_GB2312"/>
          <w:sz w:val="34"/>
          <w:szCs w:val="34"/>
          <w:lang w:bidi="ar"/>
        </w:rPr>
        <w:t>程序符合相关管理办法；</w:t>
      </w:r>
      <w:r>
        <w:rPr>
          <w:rFonts w:hint="eastAsia" w:ascii="仿宋_GB2312" w:hAnsi="仿宋_GB2312" w:cs="仿宋_GB2312"/>
          <w:sz w:val="34"/>
          <w:szCs w:val="34"/>
          <w:lang w:eastAsia="zh-CN" w:bidi="ar"/>
        </w:rPr>
        <w:t>无招投标项目，对所实施项目督促管理到位，并按照绩效目标</w:t>
      </w:r>
      <w:r>
        <w:rPr>
          <w:rFonts w:hint="eastAsia" w:ascii="仿宋_GB2312" w:hAnsi="仿宋_GB2312" w:cs="仿宋_GB2312"/>
          <w:sz w:val="34"/>
          <w:szCs w:val="34"/>
          <w:lang w:bidi="ar"/>
        </w:rPr>
        <w:t>完成验收</w:t>
      </w:r>
      <w:r>
        <w:rPr>
          <w:rFonts w:hint="eastAsia" w:ascii="仿宋_GB2312" w:hAnsi="仿宋_GB2312" w:cs="仿宋_GB2312"/>
          <w:sz w:val="34"/>
          <w:szCs w:val="34"/>
          <w:lang w:eastAsia="zh-CN" w:bidi="ar"/>
        </w:rPr>
        <w:t>。</w:t>
      </w:r>
    </w:p>
    <w:p w14:paraId="2009C3B6">
      <w:pPr>
        <w:keepNext w:val="0"/>
        <w:keepLines w:val="0"/>
        <w:pageBreakBefore w:val="0"/>
        <w:widowControl w:val="0"/>
        <w:kinsoku/>
        <w:wordWrap/>
        <w:overflowPunct/>
        <w:topLinePunct w:val="0"/>
        <w:autoSpaceDE/>
        <w:autoSpaceDN/>
        <w:bidi w:val="0"/>
        <w:adjustRightInd/>
        <w:spacing w:line="600" w:lineRule="exact"/>
        <w:ind w:left="0" w:leftChars="0" w:right="0" w:rightChars="0" w:firstLine="984" w:firstLineChars="300"/>
        <w:jc w:val="both"/>
        <w:textAlignment w:val="auto"/>
        <w:outlineLvl w:val="9"/>
        <w:rPr>
          <w:rFonts w:ascii="仿宋_GB2312" w:hAnsi="仿宋_GB2312" w:cs="仿宋_GB2312"/>
          <w:bCs/>
          <w:sz w:val="34"/>
          <w:szCs w:val="34"/>
          <w:lang w:bidi="ar"/>
        </w:rPr>
      </w:pPr>
      <w:bookmarkStart w:id="31" w:name="_Toc3788"/>
      <w:r>
        <w:rPr>
          <w:rFonts w:hint="eastAsia" w:ascii="仿宋_GB2312" w:hAnsi="仿宋_GB2312" w:cs="仿宋_GB2312"/>
          <w:sz w:val="34"/>
          <w:szCs w:val="34"/>
          <w:lang w:bidi="ar"/>
        </w:rPr>
        <w:t>4.资产管理。</w:t>
      </w:r>
      <w:bookmarkEnd w:id="31"/>
    </w:p>
    <w:p w14:paraId="243A2424">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ascii="仿宋_GB2312" w:hAnsi="仿宋_GB2312" w:eastAsia="仿宋_GB2312" w:cs="仿宋_GB2312"/>
          <w:b w:val="0"/>
          <w:bCs/>
          <w:sz w:val="34"/>
          <w:szCs w:val="34"/>
          <w:lang w:eastAsia="zh-CN"/>
        </w:rPr>
      </w:pPr>
      <w:r>
        <w:rPr>
          <w:rFonts w:hint="eastAsia" w:ascii="仿宋_GB2312" w:hAnsi="仿宋_GB2312" w:eastAsia="仿宋_GB2312" w:cs="仿宋_GB2312"/>
          <w:b w:val="0"/>
          <w:bCs/>
          <w:sz w:val="34"/>
          <w:szCs w:val="34"/>
          <w:lang w:eastAsia="zh-CN"/>
        </w:rPr>
        <w:t>本单位</w:t>
      </w:r>
      <w:r>
        <w:rPr>
          <w:rFonts w:hint="eastAsia" w:ascii="仿宋_GB2312" w:hAnsi="仿宋_GB2312" w:eastAsia="仿宋_GB2312" w:cs="仿宋_GB2312"/>
          <w:b w:val="0"/>
          <w:bCs/>
          <w:sz w:val="34"/>
          <w:szCs w:val="34"/>
        </w:rPr>
        <w:t>资产管理</w:t>
      </w:r>
      <w:r>
        <w:rPr>
          <w:rFonts w:hint="eastAsia" w:ascii="仿宋_GB2312" w:hAnsi="仿宋_GB2312" w:cs="仿宋_GB2312"/>
          <w:b w:val="0"/>
          <w:bCs/>
          <w:sz w:val="34"/>
          <w:szCs w:val="34"/>
          <w:lang w:eastAsia="zh-CN"/>
        </w:rPr>
        <w:t>严格</w:t>
      </w:r>
      <w:r>
        <w:rPr>
          <w:rFonts w:hint="eastAsia" w:ascii="仿宋_GB2312" w:hAnsi="仿宋_GB2312" w:eastAsia="仿宋_GB2312" w:cs="仿宋_GB2312"/>
          <w:b w:val="0"/>
          <w:bCs/>
          <w:sz w:val="34"/>
          <w:szCs w:val="34"/>
          <w:lang w:eastAsia="zh-CN"/>
        </w:rPr>
        <w:t>按《行政单位国有资产管理暂行办法》《事业单位国有资产管理暂行办法》等制度要求执行，</w:t>
      </w:r>
      <w:r>
        <w:rPr>
          <w:rFonts w:hint="eastAsia" w:ascii="仿宋_GB2312" w:hAnsi="仿宋_GB2312" w:eastAsia="仿宋_GB2312" w:cs="仿宋_GB2312"/>
          <w:b w:val="0"/>
          <w:bCs/>
          <w:sz w:val="34"/>
          <w:szCs w:val="34"/>
        </w:rPr>
        <w:t>资产配置合理，使用合规、处置规范</w:t>
      </w:r>
      <w:r>
        <w:rPr>
          <w:rFonts w:hint="eastAsia" w:ascii="仿宋_GB2312" w:hAnsi="仿宋_GB2312" w:eastAsia="仿宋_GB2312" w:cs="仿宋_GB2312"/>
          <w:b w:val="0"/>
          <w:bCs/>
          <w:sz w:val="34"/>
          <w:szCs w:val="34"/>
          <w:lang w:eastAsia="zh-CN"/>
        </w:rPr>
        <w:t>。</w:t>
      </w:r>
    </w:p>
    <w:p w14:paraId="69863109">
      <w:pPr>
        <w:ind w:firstLine="616" w:firstLineChars="200"/>
        <w:rPr>
          <w:b/>
        </w:rPr>
      </w:pPr>
      <w:r>
        <w:rPr>
          <w:rFonts w:hint="eastAsia"/>
          <w:b/>
        </w:rPr>
        <w:t>（三）</w:t>
      </w:r>
      <w:bookmarkEnd w:id="25"/>
      <w:bookmarkEnd w:id="26"/>
      <w:bookmarkEnd w:id="27"/>
      <w:bookmarkEnd w:id="28"/>
      <w:r>
        <w:rPr>
          <w:rFonts w:hint="eastAsia"/>
          <w:b/>
        </w:rPr>
        <w:t>预算使用效益。</w:t>
      </w:r>
    </w:p>
    <w:p w14:paraId="1D31F253">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ascii="仿宋_GB2312" w:hAnsi="仿宋_GB2312" w:cs="仿宋_GB2312"/>
          <w:sz w:val="34"/>
          <w:szCs w:val="34"/>
          <w:lang w:bidi="ar"/>
        </w:rPr>
      </w:pPr>
      <w:bookmarkStart w:id="32" w:name="_Toc23861"/>
      <w:bookmarkStart w:id="33" w:name="_Toc18975"/>
      <w:r>
        <w:rPr>
          <w:rFonts w:hint="eastAsia" w:ascii="仿宋_GB2312" w:hAnsi="仿宋_GB2312" w:cs="仿宋_GB2312"/>
          <w:sz w:val="34"/>
          <w:szCs w:val="34"/>
          <w:lang w:bidi="ar"/>
        </w:rPr>
        <w:t>1.经济性。</w:t>
      </w:r>
      <w:bookmarkEnd w:id="32"/>
    </w:p>
    <w:p w14:paraId="285AD007">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hint="eastAsia" w:ascii="仿宋_GB2312" w:hAnsi="仿宋_GB2312" w:cs="仿宋_GB2312"/>
          <w:sz w:val="34"/>
          <w:szCs w:val="34"/>
          <w:lang w:bidi="ar"/>
        </w:rPr>
      </w:pPr>
      <w:bookmarkStart w:id="34" w:name="_Toc19171"/>
      <w:r>
        <w:rPr>
          <w:rFonts w:hint="eastAsia" w:ascii="仿宋_GB2312" w:hAnsi="仿宋_GB2312" w:cs="仿宋_GB2312"/>
          <w:sz w:val="34"/>
          <w:szCs w:val="34"/>
          <w:lang w:val="en-US" w:eastAsia="zh-CN" w:bidi="ar"/>
        </w:rPr>
        <w:t>本单位按要求细化预算，在部门控制数内进行基本开支和项目开支，始终坚持厉行节约原则，逐年压减三公经费，尽可能减少资源耗费。</w:t>
      </w:r>
    </w:p>
    <w:p w14:paraId="40244C4C">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ascii="仿宋_GB2312" w:hAnsi="仿宋_GB2312" w:cs="仿宋_GB2312"/>
          <w:sz w:val="34"/>
          <w:szCs w:val="34"/>
          <w:lang w:bidi="ar"/>
        </w:rPr>
      </w:pPr>
      <w:r>
        <w:rPr>
          <w:rFonts w:hint="eastAsia" w:ascii="仿宋_GB2312" w:hAnsi="仿宋_GB2312" w:cs="仿宋_GB2312"/>
          <w:sz w:val="34"/>
          <w:szCs w:val="34"/>
          <w:lang w:bidi="ar"/>
        </w:rPr>
        <w:t>2.效率性。</w:t>
      </w:r>
      <w:bookmarkEnd w:id="34"/>
    </w:p>
    <w:p w14:paraId="534EDBE8">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hint="eastAsia" w:ascii="仿宋_GB2312" w:hAnsi="仿宋_GB2312" w:cs="仿宋_GB2312"/>
          <w:sz w:val="34"/>
          <w:szCs w:val="34"/>
          <w:lang w:bidi="ar"/>
        </w:rPr>
      </w:pPr>
      <w:bookmarkStart w:id="35" w:name="_Toc15830"/>
      <w:r>
        <w:rPr>
          <w:rFonts w:hint="eastAsia" w:ascii="仿宋_GB2312" w:hAnsi="仿宋_GB2312" w:cs="仿宋_GB2312"/>
          <w:sz w:val="34"/>
          <w:szCs w:val="34"/>
          <w:lang w:eastAsia="zh-CN" w:bidi="ar"/>
        </w:rPr>
        <w:t>本单位高度重视项目投入资源与产出成果之间的对比关系，项目完成及时，工作任务完成率高。</w:t>
      </w:r>
    </w:p>
    <w:p w14:paraId="3F4CE424">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ascii="仿宋_GB2312" w:hAnsi="仿宋_GB2312" w:cs="仿宋_GB2312"/>
          <w:sz w:val="34"/>
          <w:szCs w:val="34"/>
          <w:lang w:bidi="ar"/>
        </w:rPr>
      </w:pPr>
      <w:r>
        <w:rPr>
          <w:rFonts w:hint="eastAsia" w:ascii="仿宋_GB2312" w:hAnsi="仿宋_GB2312" w:cs="仿宋_GB2312"/>
          <w:sz w:val="34"/>
          <w:szCs w:val="34"/>
          <w:lang w:bidi="ar"/>
        </w:rPr>
        <w:t>3.效果性。</w:t>
      </w:r>
      <w:bookmarkEnd w:id="35"/>
    </w:p>
    <w:p w14:paraId="0A4EC512">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hint="eastAsia" w:ascii="仿宋_GB2312" w:hAnsi="仿宋_GB2312" w:eastAsia="仿宋_GB2312" w:cs="仿宋_GB2312"/>
          <w:sz w:val="34"/>
          <w:szCs w:val="34"/>
          <w:lang w:eastAsia="zh-CN" w:bidi="ar"/>
        </w:rPr>
      </w:pPr>
      <w:r>
        <w:rPr>
          <w:rFonts w:hint="eastAsia" w:ascii="仿宋_GB2312" w:hAnsi="仿宋_GB2312" w:cs="仿宋_GB2312"/>
          <w:sz w:val="34"/>
          <w:szCs w:val="34"/>
          <w:lang w:eastAsia="zh-CN" w:bidi="ar"/>
        </w:rPr>
        <w:t>本单位认真履行工作职责，以工作目标为导向，按要求设置产出指标、效果指标，并能完成目标值，达到预期效果。</w:t>
      </w:r>
    </w:p>
    <w:p w14:paraId="72215C12">
      <w:pPr>
        <w:keepNext w:val="0"/>
        <w:keepLines w:val="0"/>
        <w:pageBreakBefore w:val="0"/>
        <w:widowControl w:val="0"/>
        <w:kinsoku/>
        <w:wordWrap/>
        <w:overflowPunct/>
        <w:topLinePunct w:val="0"/>
        <w:autoSpaceDE/>
        <w:autoSpaceDN/>
        <w:bidi w:val="0"/>
        <w:adjustRightInd/>
        <w:spacing w:line="600" w:lineRule="exact"/>
        <w:ind w:right="0" w:rightChars="0" w:firstLine="656" w:firstLineChars="200"/>
        <w:jc w:val="both"/>
        <w:textAlignment w:val="auto"/>
        <w:outlineLvl w:val="9"/>
        <w:rPr>
          <w:rFonts w:ascii="仿宋_GB2312" w:hAnsi="仿宋_GB2312" w:cs="仿宋_GB2312"/>
          <w:sz w:val="34"/>
          <w:szCs w:val="34"/>
          <w:lang w:bidi="ar"/>
        </w:rPr>
      </w:pPr>
      <w:r>
        <w:rPr>
          <w:rFonts w:hint="eastAsia" w:ascii="仿宋_GB2312" w:hAnsi="仿宋_GB2312" w:cs="仿宋_GB2312"/>
          <w:sz w:val="34"/>
          <w:szCs w:val="34"/>
          <w:lang w:bidi="ar"/>
        </w:rPr>
        <w:t>4.公平性。</w:t>
      </w:r>
    </w:p>
    <w:p w14:paraId="6148338F">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ascii="仿宋_GB2312" w:hAnsi="仿宋_GB2312" w:cs="仿宋_GB2312"/>
          <w:szCs w:val="32"/>
          <w:lang w:bidi="ar"/>
        </w:rPr>
      </w:pPr>
      <w:r>
        <w:rPr>
          <w:rFonts w:hint="eastAsia" w:ascii="仿宋_GB2312" w:hAnsi="仿宋_GB2312" w:cs="仿宋_GB2312"/>
          <w:sz w:val="34"/>
          <w:szCs w:val="34"/>
          <w:lang w:eastAsia="zh-CN" w:bidi="ar"/>
        </w:rPr>
        <w:t>本单位</w:t>
      </w:r>
      <w:r>
        <w:rPr>
          <w:rFonts w:hint="eastAsia" w:ascii="仿宋_GB2312" w:hAnsi="仿宋_GB2312" w:cs="仿宋_GB2312"/>
          <w:sz w:val="34"/>
          <w:szCs w:val="34"/>
          <w:lang w:bidi="ar"/>
        </w:rPr>
        <w:t>建立了便利的群众意见反映渠道和群众意见办理回复机制</w:t>
      </w:r>
      <w:r>
        <w:rPr>
          <w:rFonts w:hint="eastAsia" w:ascii="仿宋_GB2312" w:hAnsi="仿宋_GB2312" w:cs="仿宋_GB2312"/>
          <w:sz w:val="34"/>
          <w:szCs w:val="34"/>
          <w:lang w:eastAsia="zh-CN" w:bidi="ar"/>
        </w:rPr>
        <w:t>，本年度群众信访办理回复率达100%，未发生超期回复现象。</w:t>
      </w:r>
    </w:p>
    <w:p w14:paraId="35F03172">
      <w:pPr>
        <w:ind w:firstLine="616" w:firstLineChars="200"/>
        <w:rPr>
          <w:rFonts w:ascii="方正小标宋简体" w:eastAsia="方正小标宋简体"/>
        </w:rPr>
      </w:pPr>
      <w:r>
        <w:rPr>
          <w:rFonts w:hint="eastAsia" w:ascii="方正小标宋简体" w:eastAsia="方正小标宋简体"/>
        </w:rPr>
        <w:t>四、存在的问题、原因分析及改进措施</w:t>
      </w:r>
    </w:p>
    <w:p w14:paraId="57F002CA">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eastAsia"/>
          <w:sz w:val="34"/>
          <w:szCs w:val="34"/>
          <w:lang w:eastAsia="zh-CN"/>
        </w:rPr>
      </w:pPr>
      <w:r>
        <w:rPr>
          <w:rFonts w:hint="eastAsia"/>
          <w:sz w:val="34"/>
          <w:szCs w:val="34"/>
          <w:lang w:eastAsia="zh-CN"/>
        </w:rPr>
        <w:t>存在问题：</w:t>
      </w:r>
      <w:r>
        <w:rPr>
          <w:rFonts w:hint="eastAsia"/>
          <w:sz w:val="34"/>
          <w:szCs w:val="34"/>
          <w:lang w:val="en-US" w:eastAsia="zh-CN"/>
        </w:rPr>
        <w:t>财政资金下达不及时、不足额导致项目完成后无法及时支付的问题</w:t>
      </w:r>
      <w:r>
        <w:rPr>
          <w:rFonts w:hint="eastAsia"/>
          <w:sz w:val="34"/>
          <w:szCs w:val="34"/>
          <w:lang w:eastAsia="zh-CN"/>
        </w:rPr>
        <w:t>。</w:t>
      </w:r>
    </w:p>
    <w:p w14:paraId="0F3230C0">
      <w:pPr>
        <w:ind w:firstLine="656" w:firstLineChars="200"/>
        <w:rPr>
          <w:rFonts w:hint="eastAsia" w:ascii="仿宋_GB2312" w:hAnsi="仿宋_GB2312" w:cs="仿宋_GB2312"/>
          <w:sz w:val="34"/>
          <w:szCs w:val="34"/>
          <w:lang w:eastAsia="zh-CN"/>
        </w:rPr>
      </w:pPr>
      <w:r>
        <w:rPr>
          <w:rFonts w:hint="eastAsia" w:ascii="仿宋_GB2312" w:hAnsi="仿宋_GB2312" w:eastAsia="仿宋_GB2312" w:cs="仿宋_GB2312"/>
          <w:sz w:val="34"/>
          <w:szCs w:val="34"/>
          <w:lang w:eastAsia="zh-CN"/>
        </w:rPr>
        <w:t>改进措施</w:t>
      </w:r>
      <w:r>
        <w:rPr>
          <w:rFonts w:hint="eastAsia" w:ascii="仿宋_GB2312" w:hAnsi="仿宋_GB2312" w:cs="仿宋_GB2312"/>
          <w:sz w:val="34"/>
          <w:szCs w:val="34"/>
          <w:lang w:eastAsia="zh-CN"/>
        </w:rPr>
        <w:t>：强化预算编制，</w:t>
      </w:r>
      <w:r>
        <w:rPr>
          <w:rFonts w:hint="eastAsia" w:ascii="仿宋_GB2312" w:hAnsi="仿宋_GB2312" w:cs="仿宋_GB2312"/>
          <w:sz w:val="34"/>
          <w:szCs w:val="34"/>
          <w:lang w:val="en-US" w:eastAsia="zh-CN"/>
        </w:rPr>
        <w:t>提前做好事项请示工作，加强和县财政局沟通联系，及时跟进项目资金下达情况</w:t>
      </w:r>
      <w:r>
        <w:rPr>
          <w:rFonts w:hint="eastAsia" w:ascii="仿宋_GB2312" w:hAnsi="仿宋_GB2312" w:cs="仿宋_GB2312"/>
          <w:sz w:val="34"/>
          <w:szCs w:val="34"/>
          <w:lang w:eastAsia="zh-CN"/>
        </w:rPr>
        <w:t>。</w:t>
      </w:r>
    </w:p>
    <w:p w14:paraId="5E5F3FBB">
      <w:pPr>
        <w:ind w:firstLine="616" w:firstLineChars="200"/>
        <w:rPr>
          <w:rFonts w:ascii="方正小标宋简体" w:eastAsia="方正小标宋简体"/>
        </w:rPr>
      </w:pPr>
      <w:r>
        <w:rPr>
          <w:rFonts w:hint="eastAsia" w:ascii="方正小标宋简体" w:eastAsia="方正小标宋简体"/>
        </w:rPr>
        <w:t>五、其他需要说明的情况</w:t>
      </w:r>
    </w:p>
    <w:bookmarkEnd w:id="33"/>
    <w:p w14:paraId="0E51BCF4">
      <w:pPr>
        <w:keepNext w:val="0"/>
        <w:keepLines w:val="0"/>
        <w:pageBreakBefore w:val="0"/>
        <w:widowControl w:val="0"/>
        <w:kinsoku/>
        <w:wordWrap/>
        <w:overflowPunct/>
        <w:topLinePunct w:val="0"/>
        <w:autoSpaceDE/>
        <w:autoSpaceDN/>
        <w:bidi w:val="0"/>
        <w:adjustRightInd/>
        <w:spacing w:line="600" w:lineRule="exact"/>
        <w:ind w:left="0" w:leftChars="0" w:right="0" w:rightChars="0" w:firstLine="656" w:firstLineChars="200"/>
        <w:jc w:val="both"/>
        <w:textAlignment w:val="auto"/>
        <w:outlineLvl w:val="9"/>
        <w:rPr>
          <w:rFonts w:hint="default"/>
          <w:sz w:val="34"/>
          <w:szCs w:val="34"/>
          <w:lang w:val="en-US" w:eastAsia="zh-CN"/>
        </w:rPr>
      </w:pPr>
      <w:r>
        <w:rPr>
          <w:rFonts w:hint="eastAsia"/>
          <w:sz w:val="34"/>
          <w:szCs w:val="34"/>
          <w:lang w:val="en-US" w:eastAsia="zh-CN"/>
        </w:rPr>
        <w:t>无</w:t>
      </w:r>
    </w:p>
    <w:sectPr>
      <w:headerReference r:id="rId4" w:type="default"/>
      <w:pgSz w:w="11906" w:h="16838"/>
      <w:pgMar w:top="1701" w:right="1588" w:bottom="1644" w:left="1701" w:header="851" w:footer="992" w:gutter="0"/>
      <w:pgNumType w:fmt="decimal"/>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B6946">
    <w:pPr>
      <w:pStyle w:val="4"/>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3460A8E">
                <w:pPr>
                  <w:pStyle w:val="4"/>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C2E7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54"/>
  <w:drawingGridVerticalSpacing w:val="281"/>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39B157F"/>
    <w:rsid w:val="04B05649"/>
    <w:rsid w:val="067258E5"/>
    <w:rsid w:val="09C421FB"/>
    <w:rsid w:val="10475C4D"/>
    <w:rsid w:val="127301CD"/>
    <w:rsid w:val="14873384"/>
    <w:rsid w:val="18AC4D9F"/>
    <w:rsid w:val="2F633134"/>
    <w:rsid w:val="388805D0"/>
    <w:rsid w:val="390403E9"/>
    <w:rsid w:val="3B44206B"/>
    <w:rsid w:val="4A590661"/>
    <w:rsid w:val="4AEE06AD"/>
    <w:rsid w:val="510C4F82"/>
    <w:rsid w:val="56030E5E"/>
    <w:rsid w:val="57CA2524"/>
    <w:rsid w:val="60700A8D"/>
    <w:rsid w:val="6332277A"/>
    <w:rsid w:val="68681920"/>
    <w:rsid w:val="6AB35823"/>
    <w:rsid w:val="76B05CF4"/>
    <w:rsid w:val="7719756B"/>
    <w:rsid w:val="77894050"/>
    <w:rsid w:val="7A711456"/>
    <w:rsid w:val="7AF5159F"/>
    <w:rsid w:val="7B1707F4"/>
    <w:rsid w:val="BF7BB5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libri Light" w:hAnsi="Calibri Light"/>
      <w:b/>
      <w:bCs/>
      <w:szCs w:val="3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9">
    <w:name w:val="正文首行缩进 21"/>
    <w:basedOn w:val="1"/>
    <w:qFormat/>
    <w:uiPriority w:val="0"/>
    <w:pPr>
      <w:spacing w:line="360" w:lineRule="auto"/>
      <w:ind w:firstLine="420" w:firstLineChars="200"/>
      <w:textAlignment w:val="baseline"/>
    </w:pPr>
    <w:rPr>
      <w:rFonts w:eastAsia="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4029</Words>
  <Characters>4168</Characters>
  <Lines>6</Lines>
  <Paragraphs>1</Paragraphs>
  <TotalTime>3</TotalTime>
  <ScaleCrop>false</ScaleCrop>
  <LinksUpToDate>false</LinksUpToDate>
  <CharactersWithSpaces>4223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2020-07-14T16:14:00Z</dcterms:created>
  <dc:creator>苏锦雯</dc:creator>
  <cp:lastModifiedBy>HUAWEI</cp:lastModifiedBy>
  <cp:lastPrinted>2020-07-14T16:13:00Z</cp:lastPrinted>
  <dcterms:modified xsi:type="dcterms:W3CDTF">2026-04-29T10:57:47Z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B15D5FE04C214C6DB5D9D8AC438660BF</vt:lpwstr>
  </property>
  <property fmtid="{D5CDD505-2E9C-101B-9397-08002B2CF9AE}" pid="4" name="KSOTemplateDocerSaveRecord">
    <vt:lpwstr>eyJoZGlkIjoiNTRiMjMyMGZjY2ZkZWE0MTdjMGVkZjIyZDEyNzBlYWIiLCJ1c2VySWQiOiIxNDI0MzcwNzI2In0=</vt:lpwstr>
  </property>
</Properties>
</file>