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BAA73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附件2-3</w:t>
      </w:r>
    </w:p>
    <w:p w14:paraId="05BBA8AA"/>
    <w:p w14:paraId="7F58F688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县级部门整体支出绩效自评报告</w:t>
      </w:r>
    </w:p>
    <w:p w14:paraId="6507C457"/>
    <w:p w14:paraId="2688E73E"/>
    <w:p w14:paraId="30A88B73"/>
    <w:p w14:paraId="7DF51A28"/>
    <w:p w14:paraId="5A325D8D">
      <w:pPr>
        <w:ind w:firstLine="1894" w:firstLineChars="592"/>
        <w:rPr>
          <w:rFonts w:hint="eastAsia" w:eastAsia="仿宋_GB2312"/>
          <w:lang w:eastAsia="zh-CN"/>
        </w:rPr>
      </w:pPr>
      <w:r>
        <w:rPr>
          <w:rFonts w:hint="eastAsia"/>
        </w:rPr>
        <w:t>部门名称（公章）：</w:t>
      </w:r>
      <w:r>
        <w:rPr>
          <w:rFonts w:hint="eastAsia" w:ascii="仿宋_GB2312"/>
          <w:lang w:eastAsia="zh-CN"/>
        </w:rPr>
        <w:t>阳西县公路事务中心</w:t>
      </w:r>
    </w:p>
    <w:p w14:paraId="2CF321A8">
      <w:pPr>
        <w:ind w:firstLine="1894" w:firstLineChars="592"/>
        <w:rPr>
          <w:rFonts w:hint="eastAsia" w:eastAsia="仿宋_GB2312"/>
          <w:lang w:eastAsia="zh-CN"/>
        </w:rPr>
      </w:pPr>
      <w:r>
        <w:rPr>
          <w:rFonts w:hint="eastAsia"/>
        </w:rPr>
        <w:t>填报人姓名：</w:t>
      </w:r>
      <w:r>
        <w:rPr>
          <w:rFonts w:hint="eastAsia"/>
          <w:lang w:eastAsia="zh-CN"/>
        </w:rPr>
        <w:t>关粤文</w:t>
      </w:r>
    </w:p>
    <w:p w14:paraId="4FBC0AF8">
      <w:pPr>
        <w:ind w:firstLine="1894" w:firstLineChars="592"/>
        <w:rPr>
          <w:rFonts w:hint="eastAsia" w:ascii="仿宋" w:hAnsi="仿宋" w:eastAsia="仿宋" w:cs="仿宋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 w:ascii="仿宋" w:hAnsi="仿宋" w:eastAsia="仿宋" w:cs="仿宋"/>
          <w:lang w:val="en-US" w:eastAsia="zh-CN"/>
        </w:rPr>
        <w:t>0662-5881030</w:t>
      </w:r>
    </w:p>
    <w:p w14:paraId="45D39216">
      <w:pPr>
        <w:ind w:firstLine="1894" w:firstLineChars="592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填报日期：</w:t>
      </w:r>
      <w:r>
        <w:rPr>
          <w:rFonts w:hint="eastAsia" w:ascii="仿宋" w:hAnsi="仿宋" w:eastAsia="仿宋" w:cs="仿宋"/>
          <w:lang w:val="en-US" w:eastAsia="zh-CN"/>
        </w:rPr>
        <w:t>2026.4.10</w:t>
      </w:r>
    </w:p>
    <w:p w14:paraId="348A1201">
      <w:pPr>
        <w:rPr>
          <w:rFonts w:hint="eastAsia" w:ascii="仿宋" w:hAnsi="仿宋" w:eastAsia="仿宋" w:cs="仿宋"/>
        </w:rPr>
      </w:pPr>
    </w:p>
    <w:p w14:paraId="0446047F"/>
    <w:p w14:paraId="6BD10DC4"/>
    <w:p w14:paraId="3A59A750"/>
    <w:p w14:paraId="0F8F7A89">
      <w:r>
        <w:rPr>
          <w:rFonts w:hint="eastAsia"/>
        </w:rPr>
        <w:t xml:space="preserve">                     阳西县财政局制</w:t>
      </w:r>
    </w:p>
    <w:p w14:paraId="2363E7AD">
      <w:r>
        <w:rPr>
          <w:rFonts w:hint="eastAsia"/>
        </w:rPr>
        <w:t xml:space="preserve">                        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</w:p>
    <w:p w14:paraId="187F480E"/>
    <w:p w14:paraId="23DCB7C7"/>
    <w:p w14:paraId="039A6589">
      <w:pPr>
        <w:pStyle w:val="7"/>
        <w:ind w:firstLine="640"/>
        <w:rPr>
          <w:rFonts w:ascii="仿宋_GB2312" w:hAnsi="Times New Roman" w:eastAsia="仿宋_GB2312"/>
          <w:sz w:val="32"/>
          <w:szCs w:val="32"/>
        </w:rPr>
        <w:sectPr>
          <w:pgSz w:w="11906" w:h="16838"/>
          <w:pgMar w:top="2041" w:right="1417" w:bottom="1417" w:left="1531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6999B46F">
      <w:pPr>
        <w:ind w:firstLine="616" w:firstLineChars="200"/>
        <w:rPr>
          <w:rFonts w:ascii="方正小标宋简体" w:eastAsia="方正小标宋简体"/>
          <w:highlight w:val="none"/>
        </w:rPr>
      </w:pPr>
      <w:bookmarkStart w:id="0" w:name="_Toc28838"/>
      <w:bookmarkStart w:id="1" w:name="_Toc8021_WPSOffice_Level2"/>
      <w:r>
        <w:rPr>
          <w:rFonts w:hint="eastAsia" w:ascii="方正小标宋简体" w:eastAsia="方正小标宋简体"/>
          <w:highlight w:val="none"/>
        </w:rPr>
        <w:t>一、部门基本情况</w:t>
      </w:r>
      <w:bookmarkEnd w:id="0"/>
    </w:p>
    <w:bookmarkEnd w:id="1"/>
    <w:p w14:paraId="131B9ED0">
      <w:pPr>
        <w:ind w:firstLine="616" w:firstLineChars="200"/>
        <w:rPr>
          <w:b/>
          <w:highlight w:val="none"/>
        </w:rPr>
      </w:pPr>
      <w:bookmarkStart w:id="2" w:name="_Toc30104"/>
      <w:bookmarkStart w:id="3" w:name="_Toc5988_WPSOffice_Level3"/>
      <w:bookmarkStart w:id="4" w:name="_Toc23683"/>
      <w:r>
        <w:rPr>
          <w:rFonts w:hint="eastAsia"/>
          <w:b/>
          <w:highlight w:val="none"/>
        </w:rPr>
        <w:t>（一）部门整体概况</w:t>
      </w:r>
      <w:bookmarkEnd w:id="2"/>
      <w:bookmarkEnd w:id="3"/>
      <w:bookmarkEnd w:id="4"/>
    </w:p>
    <w:p w14:paraId="291606DC">
      <w:pPr>
        <w:spacing w:line="276" w:lineRule="auto"/>
        <w:ind w:firstLine="616" w:firstLine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我中心是</w:t>
      </w:r>
      <w:r>
        <w:rPr>
          <w:rFonts w:hint="eastAsia" w:ascii="仿宋_GB2312" w:hAnsi="宋体"/>
          <w:szCs w:val="32"/>
          <w:lang w:eastAsia="zh-CN"/>
        </w:rPr>
        <w:t>阳西县交通运输局下属的参照公务员法管理事业单位</w:t>
      </w:r>
      <w:r>
        <w:rPr>
          <w:rFonts w:hint="eastAsia" w:ascii="仿宋_GB2312" w:hAnsi="宋体"/>
          <w:szCs w:val="32"/>
        </w:rPr>
        <w:t>，主要负责辖区内</w:t>
      </w:r>
      <w:r>
        <w:rPr>
          <w:rFonts w:hint="eastAsia" w:ascii="仿宋_GB2312" w:hAnsi="宋体"/>
          <w:szCs w:val="32"/>
          <w:lang w:eastAsia="zh-CN"/>
        </w:rPr>
        <w:t>国省道</w:t>
      </w:r>
      <w:r>
        <w:rPr>
          <w:rFonts w:hint="eastAsia" w:ascii="仿宋_GB2312" w:hAnsi="宋体"/>
          <w:szCs w:val="32"/>
        </w:rPr>
        <w:t>公路建设、养护、管理等工作，内设7个股室1个部门，下辖3个公路养护所。</w:t>
      </w:r>
    </w:p>
    <w:p w14:paraId="470C9813">
      <w:pPr>
        <w:spacing w:line="276" w:lineRule="auto"/>
        <w:ind w:firstLine="616" w:firstLineChars="200"/>
        <w:rPr>
          <w:rFonts w:hint="eastAsia" w:ascii="楷体_GB2312" w:eastAsia="楷体_GB2312"/>
          <w:b/>
          <w:bCs/>
          <w:szCs w:val="32"/>
          <w:highlight w:val="none"/>
        </w:rPr>
      </w:pPr>
      <w:r>
        <w:rPr>
          <w:rFonts w:hint="eastAsia" w:ascii="仿宋_GB2312" w:hAnsi="宋体"/>
          <w:szCs w:val="32"/>
        </w:rPr>
        <w:t>截至202</w:t>
      </w:r>
      <w:r>
        <w:rPr>
          <w:rFonts w:hint="eastAsia" w:ascii="仿宋_GB2312" w:hAnsi="宋体"/>
          <w:szCs w:val="32"/>
          <w:lang w:val="en-US" w:eastAsia="zh-CN"/>
        </w:rPr>
        <w:t>5</w:t>
      </w:r>
      <w:r>
        <w:rPr>
          <w:rFonts w:hint="eastAsia" w:ascii="仿宋_GB2312" w:hAnsi="宋体"/>
          <w:szCs w:val="32"/>
        </w:rPr>
        <w:t>年12月31日，</w:t>
      </w:r>
      <w:r>
        <w:rPr>
          <w:rFonts w:hint="eastAsia" w:ascii="仿宋_GB2312" w:hAnsi="宋体"/>
          <w:szCs w:val="32"/>
          <w:highlight w:val="none"/>
        </w:rPr>
        <w:t>我中心现有职工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89</w:t>
      </w:r>
      <w:r>
        <w:rPr>
          <w:rFonts w:hint="eastAsia" w:ascii="仿宋_GB2312" w:hAnsi="宋体"/>
          <w:szCs w:val="32"/>
          <w:highlight w:val="none"/>
        </w:rPr>
        <w:t>人、固定临工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11</w:t>
      </w:r>
      <w:r>
        <w:rPr>
          <w:rFonts w:hint="eastAsia" w:ascii="仿宋_GB2312" w:hAnsi="宋体"/>
          <w:szCs w:val="32"/>
          <w:highlight w:val="none"/>
        </w:rPr>
        <w:t>人，共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/>
          <w:szCs w:val="32"/>
          <w:highlight w:val="none"/>
        </w:rPr>
        <w:t>人。其中：机关参照公务员法管理人员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28</w:t>
      </w:r>
      <w:r>
        <w:rPr>
          <w:rFonts w:hint="eastAsia" w:ascii="仿宋_GB2312" w:hAnsi="宋体"/>
          <w:szCs w:val="32"/>
          <w:highlight w:val="none"/>
        </w:rPr>
        <w:t>人、工勤人员7人、机关退休人员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/>
          <w:szCs w:val="32"/>
          <w:highlight w:val="none"/>
        </w:rPr>
        <w:t>人；养护所财政补助人员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54</w:t>
      </w:r>
      <w:r>
        <w:rPr>
          <w:rFonts w:hint="eastAsia" w:ascii="仿宋_GB2312" w:hAnsi="宋体"/>
          <w:szCs w:val="32"/>
          <w:highlight w:val="none"/>
        </w:rPr>
        <w:t>人、养护所退休人员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/>
          <w:szCs w:val="32"/>
          <w:highlight w:val="none"/>
        </w:rPr>
        <w:t>人；机关固定临工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/>
          <w:szCs w:val="32"/>
          <w:highlight w:val="none"/>
        </w:rPr>
        <w:t>人、养护所固定临工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/>
          <w:szCs w:val="32"/>
          <w:highlight w:val="none"/>
        </w:rPr>
        <w:t>人。</w:t>
      </w:r>
    </w:p>
    <w:p w14:paraId="101A8B18">
      <w:pPr>
        <w:ind w:firstLine="616" w:firstLineChars="200"/>
        <w:rPr>
          <w:rFonts w:hint="eastAsia" w:ascii="仿宋_GB2312" w:hAnsi="仿宋_GB2312" w:cs="仿宋_GB2312"/>
          <w:bCs/>
          <w:szCs w:val="32"/>
          <w:highlight w:val="yellow"/>
          <w:lang w:bidi="ar"/>
        </w:rPr>
      </w:pPr>
    </w:p>
    <w:p w14:paraId="2CC9A9CD">
      <w:pPr>
        <w:ind w:firstLine="616" w:firstLineChars="200"/>
        <w:rPr>
          <w:b/>
          <w:highlight w:val="none"/>
        </w:rPr>
      </w:pPr>
      <w:bookmarkStart w:id="5" w:name="_Toc14936_WPSOffice_Level2"/>
      <w:bookmarkStart w:id="6" w:name="_Toc25996"/>
      <w:r>
        <w:rPr>
          <w:rFonts w:hint="eastAsia"/>
          <w:b/>
          <w:highlight w:val="none"/>
        </w:rPr>
        <w:t>（二）年度总体工作和重点工作任务</w:t>
      </w:r>
      <w:bookmarkEnd w:id="5"/>
      <w:bookmarkEnd w:id="6"/>
    </w:p>
    <w:p w14:paraId="39859A32">
      <w:pPr>
        <w:spacing w:line="276" w:lineRule="auto"/>
        <w:ind w:firstLine="616" w:firstLineChars="20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  <w:lang w:val="en-US" w:eastAsia="zh-CN"/>
        </w:rPr>
        <w:t>阳西县辖区内的国省道公路干线全面养护，确保管养路段路况完好、安全畅通，进一步提高公路养护质量和管理水平。</w:t>
      </w:r>
    </w:p>
    <w:p w14:paraId="23A1A9E4">
      <w:pPr>
        <w:ind w:firstLine="616" w:firstLineChars="200"/>
        <w:rPr>
          <w:rFonts w:hint="eastAsia" w:ascii="仿宋_GB2312" w:hAnsi="仿宋_GB2312" w:cs="仿宋_GB2312"/>
          <w:bCs/>
          <w:szCs w:val="32"/>
          <w:highlight w:val="yellow"/>
          <w:lang w:bidi="ar"/>
        </w:rPr>
      </w:pPr>
    </w:p>
    <w:p w14:paraId="73D8CE5D">
      <w:pPr>
        <w:ind w:firstLine="520"/>
        <w:rPr>
          <w:rFonts w:ascii="仿宋_GB2312" w:hAnsi="仿宋_GB2312" w:cs="仿宋_GB2312"/>
          <w:bCs/>
          <w:sz w:val="26"/>
          <w:szCs w:val="26"/>
          <w:highlight w:val="none"/>
        </w:rPr>
      </w:pPr>
      <w:bookmarkStart w:id="7" w:name="_Toc28424_WPSOffice_Level2"/>
      <w:bookmarkStart w:id="8" w:name="_Toc8086"/>
      <w:r>
        <w:rPr>
          <w:rFonts w:hint="eastAsia"/>
          <w:b/>
          <w:highlight w:val="none"/>
        </w:rPr>
        <w:t>（三）</w:t>
      </w:r>
      <w:bookmarkEnd w:id="7"/>
      <w:bookmarkEnd w:id="8"/>
      <w:r>
        <w:rPr>
          <w:rFonts w:hint="eastAsia"/>
          <w:b/>
          <w:highlight w:val="none"/>
        </w:rPr>
        <w:t>部门整体支出情况</w:t>
      </w:r>
    </w:p>
    <w:p w14:paraId="3A7A2D90">
      <w:pPr>
        <w:spacing w:line="276" w:lineRule="auto"/>
        <w:ind w:firstLine="616" w:firstLineChars="200"/>
        <w:rPr>
          <w:rFonts w:hint="eastAsia" w:ascii="仿宋_GB2312" w:hAnsi="仿宋_GB2312" w:cs="仿宋_GB2312"/>
          <w:bCs/>
          <w:szCs w:val="32"/>
          <w:highlight w:val="none"/>
        </w:rPr>
      </w:pPr>
      <w:r>
        <w:rPr>
          <w:rFonts w:hint="eastAsia" w:ascii="仿宋_GB2312" w:hAnsi="宋体"/>
          <w:szCs w:val="32"/>
          <w:highlight w:val="none"/>
        </w:rPr>
        <w:t>202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/>
          <w:szCs w:val="32"/>
          <w:highlight w:val="none"/>
        </w:rPr>
        <w:t>年，我中心年度预算支出为</w:t>
      </w:r>
      <w:r>
        <w:rPr>
          <w:rFonts w:hint="default" w:ascii="仿宋_GB2312" w:hAnsi="宋体"/>
          <w:szCs w:val="32"/>
          <w:highlight w:val="none"/>
          <w:lang w:val="en-US" w:eastAsia="zh-CN"/>
        </w:rPr>
        <w:t>3410.4</w:t>
      </w:r>
      <w:r>
        <w:rPr>
          <w:rFonts w:hint="eastAsia" w:ascii="仿宋_GB2312" w:hAnsi="宋体"/>
          <w:szCs w:val="32"/>
          <w:highlight w:val="none"/>
        </w:rPr>
        <w:t>万元，年度决算支出为</w:t>
      </w:r>
      <w:r>
        <w:rPr>
          <w:rFonts w:hint="default" w:ascii="仿宋_GB2312" w:hAnsi="宋体"/>
          <w:szCs w:val="32"/>
          <w:highlight w:val="none"/>
          <w:lang w:val="en-US" w:eastAsia="zh-CN"/>
        </w:rPr>
        <w:t>3410.4</w:t>
      </w:r>
      <w:r>
        <w:rPr>
          <w:rFonts w:hint="eastAsia" w:ascii="仿宋_GB2312" w:hAnsi="宋体"/>
          <w:szCs w:val="32"/>
          <w:highlight w:val="none"/>
        </w:rPr>
        <w:t>万元，其中基本支出为</w:t>
      </w:r>
      <w:r>
        <w:rPr>
          <w:rFonts w:hint="eastAsia" w:ascii="仿宋_GB2312" w:hAnsi="宋体"/>
          <w:szCs w:val="32"/>
          <w:highlight w:val="none"/>
          <w:lang w:val="en-US" w:eastAsia="zh-CN"/>
        </w:rPr>
        <w:t>1753.06</w:t>
      </w:r>
      <w:r>
        <w:rPr>
          <w:rFonts w:hint="eastAsia" w:ascii="仿宋_GB2312" w:hAnsi="宋体"/>
          <w:szCs w:val="32"/>
          <w:highlight w:val="none"/>
        </w:rPr>
        <w:t>万元，项目支出为</w:t>
      </w:r>
      <w:r>
        <w:rPr>
          <w:rFonts w:hint="default" w:ascii="仿宋_GB2312" w:hAnsi="宋体"/>
          <w:szCs w:val="32"/>
          <w:highlight w:val="none"/>
          <w:lang w:val="en-US" w:eastAsia="zh-CN"/>
        </w:rPr>
        <w:t>1657.34</w:t>
      </w:r>
      <w:r>
        <w:rPr>
          <w:rFonts w:hint="eastAsia" w:ascii="仿宋_GB2312" w:hAnsi="宋体"/>
          <w:szCs w:val="32"/>
          <w:highlight w:val="none"/>
        </w:rPr>
        <w:t>万元。</w:t>
      </w:r>
      <w:r>
        <w:rPr>
          <w:rFonts w:hint="eastAsia" w:ascii="仿宋_GB2312" w:hAnsi="宋体"/>
          <w:color w:val="auto"/>
          <w:szCs w:val="32"/>
          <w:highlight w:val="none"/>
        </w:rPr>
        <w:t>202</w:t>
      </w:r>
      <w:r>
        <w:rPr>
          <w:rFonts w:hint="eastAsia" w:ascii="仿宋_GB2312" w:hAnsi="宋体"/>
          <w:color w:val="auto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/>
          <w:color w:val="auto"/>
          <w:szCs w:val="32"/>
          <w:highlight w:val="none"/>
        </w:rPr>
        <w:t>年度三公经费预算为</w:t>
      </w:r>
      <w:r>
        <w:rPr>
          <w:rFonts w:hint="eastAsia" w:ascii="仿宋_GB2312" w:hAnsi="宋体"/>
          <w:color w:val="auto"/>
          <w:szCs w:val="32"/>
          <w:highlight w:val="none"/>
          <w:lang w:val="en-US" w:eastAsia="zh-CN"/>
        </w:rPr>
        <w:t>9.00</w:t>
      </w:r>
      <w:r>
        <w:rPr>
          <w:rFonts w:hint="eastAsia" w:ascii="仿宋_GB2312" w:hAnsi="宋体"/>
          <w:color w:val="auto"/>
          <w:szCs w:val="32"/>
          <w:highlight w:val="none"/>
        </w:rPr>
        <w:t>万元，决算为</w:t>
      </w:r>
      <w:r>
        <w:rPr>
          <w:rFonts w:hint="eastAsia" w:ascii="仿宋_GB2312" w:hAnsi="宋体"/>
          <w:color w:val="auto"/>
          <w:szCs w:val="32"/>
          <w:highlight w:val="none"/>
          <w:lang w:val="en-US" w:eastAsia="zh-CN"/>
        </w:rPr>
        <w:t>3.10</w:t>
      </w:r>
      <w:r>
        <w:rPr>
          <w:rFonts w:hint="eastAsia" w:ascii="仿宋_GB2312" w:hAnsi="宋体"/>
          <w:color w:val="auto"/>
          <w:szCs w:val="32"/>
          <w:highlight w:val="none"/>
        </w:rPr>
        <w:t>万元，每一项均在预算控制范围内支出。</w:t>
      </w:r>
    </w:p>
    <w:p w14:paraId="0C056294">
      <w:pPr>
        <w:ind w:firstLine="520"/>
        <w:rPr>
          <w:rFonts w:hint="eastAsia" w:ascii="仿宋_GB2312" w:hAnsi="仿宋_GB2312" w:cs="仿宋_GB2312"/>
          <w:bCs/>
          <w:szCs w:val="32"/>
          <w:highlight w:val="yellow"/>
          <w:lang w:bidi="ar"/>
        </w:rPr>
      </w:pPr>
    </w:p>
    <w:p w14:paraId="19A3EF17">
      <w:pPr>
        <w:ind w:firstLine="520"/>
        <w:rPr>
          <w:b/>
          <w:highlight w:val="none"/>
        </w:rPr>
      </w:pPr>
      <w:r>
        <w:rPr>
          <w:rFonts w:hint="eastAsia"/>
          <w:b/>
          <w:highlight w:val="none"/>
        </w:rPr>
        <w:t>（四）部门整体支出绩效目标</w:t>
      </w:r>
    </w:p>
    <w:p w14:paraId="77EFE76D">
      <w:pPr>
        <w:spacing w:line="276" w:lineRule="auto"/>
        <w:ind w:firstLine="616" w:firstLineChars="20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项目完成后，能对群众、环境带来积极良性的发展，更好地保障辖区内公路畅通。</w:t>
      </w:r>
    </w:p>
    <w:p w14:paraId="053843C7">
      <w:pPr>
        <w:spacing w:line="600" w:lineRule="exact"/>
        <w:ind w:firstLine="616" w:firstLineChars="200"/>
        <w:rPr>
          <w:rFonts w:hint="eastAsia" w:ascii="仿宋_GB2312" w:hAnsi="华文仿宋" w:cs="仿宋_GB2312"/>
          <w:szCs w:val="32"/>
          <w:highlight w:val="yellow"/>
        </w:rPr>
      </w:pPr>
    </w:p>
    <w:p w14:paraId="01B1B4C4">
      <w:pPr>
        <w:ind w:firstLine="616" w:firstLineChars="200"/>
        <w:rPr>
          <w:rFonts w:ascii="方正小标宋简体" w:eastAsia="方正小标宋简体"/>
          <w:highlight w:val="none"/>
        </w:rPr>
      </w:pPr>
      <w:bookmarkStart w:id="9" w:name="_Toc4514_WPSOffice_Level1"/>
      <w:bookmarkStart w:id="10" w:name="_Toc22180"/>
      <w:r>
        <w:rPr>
          <w:rFonts w:hint="eastAsia" w:ascii="方正小标宋简体" w:eastAsia="方正小标宋简体"/>
          <w:highlight w:val="none"/>
        </w:rPr>
        <w:t>二、绩效自评结论</w:t>
      </w:r>
      <w:bookmarkEnd w:id="9"/>
      <w:bookmarkEnd w:id="10"/>
    </w:p>
    <w:p w14:paraId="133B3D1D">
      <w:pPr>
        <w:spacing w:line="276" w:lineRule="auto"/>
        <w:ind w:firstLine="616" w:firstLineChars="200"/>
        <w:rPr>
          <w:rFonts w:hint="eastAsia" w:ascii="仿宋_GB2312" w:hAnsi="宋体"/>
          <w:szCs w:val="32"/>
        </w:rPr>
      </w:pPr>
      <w:bookmarkStart w:id="11" w:name="_Toc2072"/>
      <w:bookmarkStart w:id="12" w:name="_Toc2998_WPSOffice_Level1"/>
      <w:r>
        <w:rPr>
          <w:rFonts w:hint="eastAsia" w:ascii="仿宋_GB2312" w:hAnsi="宋体"/>
          <w:szCs w:val="32"/>
          <w:lang w:eastAsia="zh-CN"/>
        </w:rPr>
        <w:t>根据指标说明及评分标准，综合我中心具体情况，</w:t>
      </w:r>
      <w:r>
        <w:rPr>
          <w:rFonts w:hint="eastAsia" w:ascii="仿宋_GB2312" w:hAnsi="宋体"/>
          <w:szCs w:val="32"/>
          <w:lang w:val="en-US" w:eastAsia="zh-CN"/>
        </w:rPr>
        <w:t>2025年我中心部门整体支出绩效自评100分。</w:t>
      </w:r>
      <w:bookmarkEnd w:id="11"/>
      <w:bookmarkEnd w:id="12"/>
      <w:bookmarkStart w:id="34" w:name="_GoBack"/>
      <w:bookmarkEnd w:id="34"/>
    </w:p>
    <w:p w14:paraId="6EA12178">
      <w:pPr>
        <w:ind w:firstLine="616" w:firstLineChars="200"/>
        <w:rPr>
          <w:b/>
          <w:highlight w:val="none"/>
        </w:rPr>
      </w:pPr>
      <w:bookmarkStart w:id="13" w:name="_Toc19924"/>
      <w:bookmarkStart w:id="14" w:name="_Toc22677"/>
      <w:bookmarkStart w:id="15" w:name="_Toc27392_WPSOffice_Level2"/>
      <w:bookmarkStart w:id="16" w:name="_Toc26765_WPSOffice_Level3"/>
      <w:r>
        <w:rPr>
          <w:rFonts w:hint="eastAsia"/>
          <w:b/>
          <w:highlight w:val="none"/>
        </w:rPr>
        <w:t>（一）预算编制情况</w:t>
      </w:r>
      <w:bookmarkEnd w:id="13"/>
      <w:bookmarkEnd w:id="14"/>
      <w:bookmarkEnd w:id="15"/>
      <w:bookmarkEnd w:id="16"/>
    </w:p>
    <w:p w14:paraId="4B3495EC">
      <w:pPr>
        <w:spacing w:line="276" w:lineRule="auto"/>
        <w:ind w:firstLine="936" w:firstLineChars="304"/>
        <w:rPr>
          <w:rFonts w:hint="eastAsia" w:ascii="仿宋_GB2312" w:hAnsi="仿宋_GB2312" w:cs="仿宋_GB2312"/>
          <w:szCs w:val="32"/>
          <w:highlight w:val="none"/>
          <w:lang w:bidi="ar"/>
        </w:rPr>
      </w:pPr>
      <w:bookmarkStart w:id="17" w:name="_Toc4521"/>
      <w:r>
        <w:rPr>
          <w:rFonts w:hint="eastAsia" w:ascii="仿宋_GB2312" w:hAnsi="仿宋_GB2312" w:cs="仿宋_GB2312"/>
          <w:szCs w:val="32"/>
          <w:highlight w:val="none"/>
          <w:lang w:bidi="ar"/>
        </w:rPr>
        <w:t>1.</w:t>
      </w:r>
      <w:bookmarkEnd w:id="17"/>
      <w:r>
        <w:rPr>
          <w:rFonts w:hint="eastAsia" w:ascii="仿宋_GB2312" w:hAnsi="仿宋_GB2312" w:cs="仿宋_GB2312"/>
          <w:szCs w:val="32"/>
          <w:lang w:bidi="ar"/>
        </w:rPr>
        <w:t>预算编制合理性及规范性</w:t>
      </w:r>
    </w:p>
    <w:p w14:paraId="21ACC942">
      <w:pPr>
        <w:spacing w:line="276" w:lineRule="auto"/>
        <w:ind w:firstLine="632" w:firstLineChars="205"/>
        <w:rPr>
          <w:rFonts w:ascii="仿宋_GB2312" w:hAnsi="仿宋_GB2312" w:cs="仿宋_GB2312"/>
          <w:szCs w:val="32"/>
          <w:highlight w:val="yellow"/>
          <w:lang w:bidi="ar"/>
        </w:rPr>
      </w:pPr>
      <w:r>
        <w:rPr>
          <w:rFonts w:hint="eastAsia" w:ascii="仿宋_GB2312" w:hAnsi="宋体"/>
          <w:szCs w:val="32"/>
          <w:highlight w:val="none"/>
          <w:lang w:val="en-US" w:eastAsia="zh-CN"/>
        </w:rPr>
        <w:t>我中心预算按县财政要求编制，符合县委县政府的方针政策以及本单位的工作要求，符合当年县财政印发的预算编制工作方案、通知和有关制度要求，整体绩效目标与部门职能、年度工作任务、申请资金规模相匹配，绩效目标明确。</w:t>
      </w:r>
    </w:p>
    <w:p w14:paraId="5DD1F96A">
      <w:pPr>
        <w:spacing w:line="276" w:lineRule="auto"/>
        <w:ind w:firstLine="940" w:firstLineChars="305"/>
        <w:rPr>
          <w:rFonts w:hint="eastAsia" w:ascii="仿宋_GB2312" w:hAnsi="仿宋_GB2312" w:cs="仿宋_GB2312"/>
          <w:szCs w:val="32"/>
          <w:highlight w:val="none"/>
          <w:lang w:bidi="ar"/>
        </w:rPr>
      </w:pPr>
      <w:bookmarkStart w:id="18" w:name="_Toc8156"/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2.</w:t>
      </w:r>
      <w:r>
        <w:rPr>
          <w:rFonts w:hint="eastAsia" w:ascii="仿宋_GB2312" w:hAnsi="仿宋_GB2312" w:cs="仿宋_GB2312"/>
          <w:szCs w:val="32"/>
          <w:highlight w:val="none"/>
          <w:lang w:bidi="ar"/>
        </w:rPr>
        <w:t>目标设置情况</w:t>
      </w:r>
      <w:bookmarkEnd w:id="18"/>
    </w:p>
    <w:p w14:paraId="497A38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eastAsia="zh-CN" w:bidi="ar"/>
        </w:rPr>
      </w:pPr>
      <w:r>
        <w:rPr>
          <w:rFonts w:hint="eastAsia" w:ascii="仿宋_GB2312" w:hAnsi="宋体"/>
          <w:szCs w:val="32"/>
          <w:highlight w:val="none"/>
          <w:lang w:val="en-US" w:eastAsia="zh-CN"/>
        </w:rPr>
        <w:t>我中心绩效目标设置合理、完整、明确，体现部门职能、</w:t>
      </w:r>
      <w:r>
        <w:rPr>
          <w:rFonts w:hint="eastAsia" w:ascii="仿宋_GB2312" w:hAnsi="仿宋_GB2312" w:cs="仿宋_GB2312"/>
          <w:szCs w:val="32"/>
          <w:highlight w:val="none"/>
          <w:lang w:eastAsia="zh-CN" w:bidi="ar"/>
        </w:rPr>
        <w:t>中长期规划和年度工作计划，与本年度部门预算资金相匹配，按时按质报送部门整体绩效目标和项目绩效目标，内容覆盖全面且完整准确。</w:t>
      </w:r>
    </w:p>
    <w:p w14:paraId="437E4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eastAsia="zh-CN" w:bidi="ar"/>
        </w:rPr>
      </w:pPr>
    </w:p>
    <w:p w14:paraId="51898845">
      <w:pPr>
        <w:ind w:firstLine="616" w:firstLineChars="200"/>
        <w:rPr>
          <w:b/>
          <w:highlight w:val="none"/>
        </w:rPr>
      </w:pPr>
      <w:bookmarkStart w:id="19" w:name="_Toc5828_WPSOffice_Level3"/>
      <w:bookmarkStart w:id="20" w:name="_Toc32482"/>
      <w:bookmarkStart w:id="21" w:name="_Toc13662"/>
      <w:bookmarkStart w:id="22" w:name="_Toc19200_WPSOffice_Level2"/>
      <w:r>
        <w:rPr>
          <w:rFonts w:hint="eastAsia"/>
          <w:b/>
          <w:highlight w:val="none"/>
        </w:rPr>
        <w:t>（二）预算执行情况</w:t>
      </w:r>
      <w:bookmarkEnd w:id="19"/>
      <w:bookmarkEnd w:id="20"/>
      <w:bookmarkEnd w:id="21"/>
      <w:bookmarkEnd w:id="22"/>
    </w:p>
    <w:p w14:paraId="23F4BF2F">
      <w:pPr>
        <w:ind w:firstLine="924" w:firstLineChars="300"/>
        <w:rPr>
          <w:rFonts w:ascii="仿宋_GB2312" w:hAnsi="仿宋_GB2312" w:cs="仿宋_GB2312"/>
          <w:bCs/>
          <w:szCs w:val="32"/>
          <w:highlight w:val="none"/>
          <w:lang w:bidi="ar"/>
        </w:rPr>
      </w:pPr>
      <w:r>
        <w:rPr>
          <w:rFonts w:hint="eastAsia" w:ascii="仿宋_GB2312" w:hAnsi="仿宋_GB2312" w:cs="仿宋_GB2312"/>
          <w:szCs w:val="32"/>
          <w:highlight w:val="none"/>
          <w:lang w:bidi="ar"/>
        </w:rPr>
        <w:t>1.制度管理</w:t>
      </w:r>
    </w:p>
    <w:p w14:paraId="7E85274F">
      <w:pPr>
        <w:ind w:firstLine="616" w:firstLineChars="200"/>
        <w:rPr>
          <w:rFonts w:hint="eastAsia" w:ascii="仿宋_GB2312" w:hAnsi="仿宋_GB2312" w:eastAsia="仿宋_GB2312" w:cs="仿宋_GB2312"/>
          <w:bCs/>
          <w:szCs w:val="32"/>
          <w:highlight w:val="none"/>
          <w:lang w:eastAsia="zh-CN" w:bidi="ar"/>
        </w:rPr>
      </w:pPr>
      <w:r>
        <w:rPr>
          <w:rFonts w:hint="eastAsia" w:ascii="仿宋_GB2312" w:hAnsi="仿宋_GB2312" w:cs="仿宋_GB2312"/>
          <w:bCs/>
          <w:szCs w:val="32"/>
          <w:highlight w:val="none"/>
          <w:lang w:eastAsia="zh-CN" w:bidi="ar"/>
        </w:rPr>
        <w:t>本中心制定《阳西县公路事务中心财务管理制度》、《阳西县公路事务中心国有资产管理制度》、《阳西县公路事务中心机械管理制度》，相关管理制度得到有效执行。</w:t>
      </w:r>
    </w:p>
    <w:p w14:paraId="343D7E48">
      <w:pPr>
        <w:ind w:firstLine="924" w:firstLineChars="300"/>
        <w:rPr>
          <w:rFonts w:ascii="仿宋_GB2312" w:hAnsi="仿宋_GB2312" w:cs="仿宋_GB2312"/>
          <w:bCs/>
          <w:szCs w:val="32"/>
          <w:highlight w:val="none"/>
          <w:lang w:bidi="ar"/>
        </w:rPr>
      </w:pPr>
      <w:bookmarkStart w:id="23" w:name="_Toc3319"/>
      <w:r>
        <w:rPr>
          <w:rFonts w:hint="eastAsia" w:ascii="仿宋_GB2312" w:hAnsi="仿宋_GB2312" w:cs="仿宋_GB2312"/>
          <w:szCs w:val="32"/>
          <w:highlight w:val="none"/>
          <w:lang w:bidi="ar"/>
        </w:rPr>
        <w:t>2.资金管理</w:t>
      </w:r>
      <w:bookmarkEnd w:id="23"/>
    </w:p>
    <w:p w14:paraId="236539E2">
      <w:pPr>
        <w:ind w:firstLine="616" w:firstLineChars="200"/>
        <w:rPr>
          <w:rFonts w:ascii="仿宋_GB2312" w:hAnsi="仿宋_GB2312" w:cs="仿宋_GB2312"/>
          <w:bCs/>
          <w:szCs w:val="32"/>
          <w:highlight w:val="none"/>
          <w:lang w:bidi="ar"/>
        </w:rPr>
      </w:pPr>
      <w:r>
        <w:rPr>
          <w:rFonts w:hint="eastAsia" w:ascii="仿宋_GB2312" w:hAnsi="仿宋_GB2312" w:cs="仿宋_GB2312"/>
          <w:bCs/>
          <w:szCs w:val="32"/>
          <w:highlight w:val="none"/>
          <w:lang w:eastAsia="zh-CN" w:bidi="ar"/>
        </w:rPr>
        <w:t>我中心</w:t>
      </w:r>
      <w:r>
        <w:rPr>
          <w:rFonts w:hint="eastAsia" w:ascii="仿宋_GB2312" w:hAnsi="仿宋_GB2312" w:cs="仿宋_GB2312"/>
          <w:bCs/>
          <w:szCs w:val="32"/>
          <w:highlight w:val="none"/>
          <w:lang w:bidi="ar"/>
        </w:rPr>
        <w:t>预算资金支出完成率</w:t>
      </w:r>
      <w:r>
        <w:rPr>
          <w:rFonts w:hint="eastAsia" w:ascii="仿宋_GB2312" w:hAnsi="仿宋_GB2312" w:cs="仿宋_GB2312"/>
          <w:bCs/>
          <w:szCs w:val="32"/>
          <w:highlight w:val="none"/>
          <w:lang w:val="en-US" w:eastAsia="zh-CN" w:bidi="ar"/>
        </w:rPr>
        <w:t>100%</w:t>
      </w:r>
      <w:r>
        <w:rPr>
          <w:rFonts w:hint="eastAsia" w:ascii="仿宋_GB2312" w:hAnsi="仿宋_GB2312" w:cs="仿宋_GB2312"/>
          <w:bCs/>
          <w:szCs w:val="32"/>
          <w:highlight w:val="none"/>
          <w:lang w:bidi="ar"/>
        </w:rPr>
        <w:t>、结转结余率</w:t>
      </w:r>
      <w:r>
        <w:rPr>
          <w:rFonts w:hint="eastAsia" w:ascii="仿宋_GB2312" w:hAnsi="仿宋_GB2312" w:cs="仿宋_GB2312"/>
          <w:bCs/>
          <w:szCs w:val="32"/>
          <w:highlight w:val="none"/>
          <w:lang w:eastAsia="zh-CN" w:bidi="ar"/>
        </w:rPr>
        <w:t>为</w:t>
      </w:r>
      <w:r>
        <w:rPr>
          <w:rFonts w:hint="eastAsia" w:ascii="仿宋_GB2312" w:hAnsi="仿宋_GB2312" w:cs="仿宋_GB2312"/>
          <w:bCs/>
          <w:szCs w:val="32"/>
          <w:highlight w:val="none"/>
          <w:lang w:val="en-US" w:eastAsia="zh-CN" w:bidi="ar"/>
        </w:rPr>
        <w:t>0，严格执行资金支出管理制度，不存在截留、挤占、挪用资金的情况，按政府信息公开规定及时公开</w:t>
      </w:r>
      <w:r>
        <w:rPr>
          <w:rFonts w:hint="eastAsia" w:ascii="仿宋_GB2312" w:hAnsi="仿宋_GB2312" w:cs="仿宋_GB2312"/>
          <w:bCs/>
          <w:szCs w:val="32"/>
          <w:highlight w:val="none"/>
          <w:lang w:bidi="ar"/>
        </w:rPr>
        <w:t>预决算信息</w:t>
      </w:r>
      <w:r>
        <w:rPr>
          <w:rFonts w:hint="eastAsia" w:ascii="仿宋_GB2312" w:hAnsi="仿宋_GB2312" w:cs="仿宋_GB2312"/>
          <w:bCs/>
          <w:szCs w:val="32"/>
          <w:highlight w:val="none"/>
          <w:lang w:eastAsia="zh-CN" w:bidi="ar"/>
        </w:rPr>
        <w:t>，管理公开透明</w:t>
      </w:r>
      <w:r>
        <w:rPr>
          <w:rFonts w:hint="eastAsia" w:ascii="仿宋_GB2312" w:hAnsi="仿宋_GB2312" w:cs="仿宋_GB2312"/>
          <w:bCs/>
          <w:szCs w:val="32"/>
          <w:highlight w:val="none"/>
          <w:lang w:bidi="ar"/>
        </w:rPr>
        <w:t>。</w:t>
      </w:r>
    </w:p>
    <w:p w14:paraId="6A766D88">
      <w:pPr>
        <w:ind w:firstLine="924" w:firstLineChars="300"/>
        <w:rPr>
          <w:rFonts w:ascii="仿宋_GB2312" w:hAnsi="仿宋_GB2312" w:cs="仿宋_GB2312"/>
          <w:szCs w:val="32"/>
          <w:highlight w:val="none"/>
          <w:lang w:bidi="ar"/>
        </w:rPr>
      </w:pPr>
      <w:bookmarkStart w:id="24" w:name="_Toc29827"/>
      <w:r>
        <w:rPr>
          <w:rFonts w:hint="eastAsia" w:ascii="仿宋_GB2312" w:hAnsi="仿宋_GB2312" w:cs="仿宋_GB2312"/>
          <w:szCs w:val="32"/>
          <w:highlight w:val="none"/>
          <w:lang w:bidi="ar"/>
        </w:rPr>
        <w:t>3.项目管理</w:t>
      </w:r>
      <w:bookmarkEnd w:id="24"/>
    </w:p>
    <w:p w14:paraId="4D9B0E3E">
      <w:pPr>
        <w:rPr>
          <w:rFonts w:hint="default" w:ascii="仿宋_GB2312" w:hAnsi="仿宋_GB2312" w:eastAsia="仿宋_GB2312" w:cs="仿宋_GB231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 xml:space="preserve">    </w:t>
      </w:r>
      <w:r>
        <w:rPr>
          <w:rFonts w:hint="eastAsia" w:ascii="仿宋_GB2312" w:hAnsi="仿宋_GB2312" w:cs="仿宋_GB2312"/>
          <w:bCs/>
          <w:szCs w:val="32"/>
          <w:highlight w:val="none"/>
          <w:lang w:eastAsia="zh-CN" w:bidi="ar"/>
        </w:rPr>
        <w:t>我</w:t>
      </w:r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中心项目设立按规定履行报批手续，项目实施过程符合规范，验收、招投标履行相应手续，建立有效资金管理和绩效运行监控机制。</w:t>
      </w:r>
    </w:p>
    <w:p w14:paraId="5DA8839D">
      <w:pPr>
        <w:numPr>
          <w:ilvl w:val="0"/>
          <w:numId w:val="0"/>
        </w:numPr>
        <w:ind w:firstLine="924" w:firstLineChars="300"/>
        <w:rPr>
          <w:rFonts w:hint="eastAsia" w:ascii="仿宋_GB2312" w:hAnsi="仿宋_GB2312" w:cs="仿宋_GB2312"/>
          <w:szCs w:val="32"/>
          <w:highlight w:val="none"/>
          <w:lang w:bidi="ar"/>
        </w:rPr>
      </w:pPr>
      <w:bookmarkStart w:id="25" w:name="_Toc3788"/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4</w:t>
      </w:r>
      <w:r>
        <w:rPr>
          <w:rFonts w:hint="eastAsia" w:ascii="仿宋_GB2312" w:hAnsi="仿宋_GB2312" w:cs="仿宋_GB2312"/>
          <w:szCs w:val="32"/>
          <w:highlight w:val="none"/>
          <w:lang w:bidi="ar"/>
        </w:rPr>
        <w:t>.资产管理</w:t>
      </w:r>
      <w:bookmarkEnd w:id="25"/>
    </w:p>
    <w:p w14:paraId="1A48FD1E">
      <w:pPr>
        <w:spacing w:line="276" w:lineRule="auto"/>
        <w:ind w:firstLine="632" w:firstLineChars="205"/>
        <w:rPr>
          <w:rFonts w:hint="eastAsia" w:ascii="仿宋_GB2312" w:hAnsi="宋体"/>
          <w:szCs w:val="32"/>
          <w:lang w:val="en-US" w:eastAsia="zh-CN"/>
        </w:rPr>
      </w:pPr>
      <w:r>
        <w:rPr>
          <w:rFonts w:hint="eastAsia" w:ascii="仿宋_GB2312" w:hAnsi="宋体"/>
          <w:szCs w:val="32"/>
          <w:lang w:val="en-US" w:eastAsia="zh-CN"/>
        </w:rPr>
        <w:t>我中心建立了健全的资产管理制度，坚持统一制度、专人专岗、责任到人的原则，其中：办公室负责对纳入政府采购范围的资产进行购置与管理；机务股负责对我中心的大型设备、专用设备、车辆进行统一管理；计财股负责行政事业单位国有资产管理系统的日常管理；工会负责对我中心涉及出租出借的资产进行管理与监督，计财股按规定及时上缴资产收益。</w:t>
      </w:r>
    </w:p>
    <w:p w14:paraId="0F3030DE">
      <w:pPr>
        <w:spacing w:line="276" w:lineRule="auto"/>
        <w:ind w:firstLine="632" w:firstLineChars="205"/>
        <w:rPr>
          <w:rFonts w:hint="default" w:ascii="仿宋_GB2312" w:hAnsi="宋体"/>
          <w:szCs w:val="32"/>
          <w:lang w:val="en-US" w:eastAsia="zh-CN"/>
        </w:rPr>
      </w:pPr>
    </w:p>
    <w:p w14:paraId="1259035B">
      <w:pPr>
        <w:ind w:firstLine="616" w:firstLineChars="200"/>
        <w:rPr>
          <w:b/>
          <w:highlight w:val="none"/>
        </w:rPr>
      </w:pPr>
      <w:bookmarkStart w:id="26" w:name="_Toc26860"/>
      <w:bookmarkStart w:id="27" w:name="_Toc14900"/>
      <w:bookmarkStart w:id="28" w:name="_Toc15901_WPSOffice_Level2"/>
      <w:bookmarkStart w:id="29" w:name="_Toc20443_WPSOffice_Level3"/>
      <w:r>
        <w:rPr>
          <w:rFonts w:hint="eastAsia"/>
          <w:b/>
          <w:highlight w:val="none"/>
        </w:rPr>
        <w:t>（三）</w:t>
      </w:r>
      <w:bookmarkEnd w:id="26"/>
      <w:bookmarkEnd w:id="27"/>
      <w:bookmarkEnd w:id="28"/>
      <w:bookmarkEnd w:id="29"/>
      <w:r>
        <w:rPr>
          <w:rFonts w:hint="eastAsia"/>
          <w:b/>
          <w:highlight w:val="none"/>
        </w:rPr>
        <w:t>预算使用效益</w:t>
      </w:r>
    </w:p>
    <w:p w14:paraId="176B0A22">
      <w:pPr>
        <w:ind w:firstLine="924" w:firstLineChars="300"/>
        <w:rPr>
          <w:rFonts w:hint="eastAsia" w:ascii="仿宋_GB2312" w:hAnsi="仿宋_GB2312" w:cs="仿宋_GB2312"/>
          <w:szCs w:val="32"/>
          <w:highlight w:val="none"/>
          <w:lang w:bidi="ar"/>
        </w:rPr>
      </w:pPr>
      <w:bookmarkStart w:id="30" w:name="_Toc23861"/>
      <w:r>
        <w:rPr>
          <w:rFonts w:hint="eastAsia" w:ascii="仿宋_GB2312" w:hAnsi="仿宋_GB2312" w:cs="仿宋_GB2312"/>
          <w:szCs w:val="32"/>
          <w:highlight w:val="none"/>
          <w:lang w:bidi="ar"/>
        </w:rPr>
        <w:t>1.经济性</w:t>
      </w:r>
      <w:bookmarkEnd w:id="30"/>
    </w:p>
    <w:p w14:paraId="1AF972E4">
      <w:pPr>
        <w:spacing w:line="276" w:lineRule="auto"/>
        <w:ind w:left="175" w:leftChars="57" w:firstLine="616" w:firstLineChars="200"/>
        <w:rPr>
          <w:rFonts w:hint="eastAsia" w:ascii="仿宋_GB2312" w:hAnsi="仿宋_GB2312" w:cs="仿宋_GB2312"/>
          <w:szCs w:val="32"/>
          <w:highlight w:val="yellow"/>
          <w:lang w:bidi="ar"/>
        </w:rPr>
      </w:pPr>
      <w:r>
        <w:rPr>
          <w:rFonts w:hint="eastAsia" w:ascii="仿宋_GB2312" w:hAnsi="宋体"/>
          <w:szCs w:val="32"/>
          <w:highlight w:val="none"/>
        </w:rPr>
        <w:t>本项目预算控制合理，在预算执行进度与项目完成进度基本匹配的前提下，支出结果在预算范围内。</w:t>
      </w:r>
    </w:p>
    <w:p w14:paraId="421888F1">
      <w:pPr>
        <w:ind w:firstLine="924" w:firstLineChars="300"/>
        <w:rPr>
          <w:rFonts w:hint="eastAsia" w:ascii="仿宋_GB2312" w:hAnsi="仿宋_GB2312" w:cs="仿宋_GB2312"/>
          <w:szCs w:val="32"/>
          <w:highlight w:val="none"/>
          <w:lang w:bidi="ar"/>
        </w:rPr>
      </w:pPr>
      <w:bookmarkStart w:id="31" w:name="_Toc19171"/>
      <w:r>
        <w:rPr>
          <w:rFonts w:hint="eastAsia" w:ascii="仿宋_GB2312" w:hAnsi="仿宋_GB2312" w:cs="仿宋_GB2312"/>
          <w:szCs w:val="32"/>
          <w:highlight w:val="none"/>
          <w:lang w:bidi="ar"/>
        </w:rPr>
        <w:t>2.效率性</w:t>
      </w:r>
      <w:bookmarkEnd w:id="31"/>
    </w:p>
    <w:p w14:paraId="3E73D645">
      <w:pPr>
        <w:ind w:firstLine="767" w:firstLineChars="249"/>
        <w:rPr>
          <w:rFonts w:hint="eastAsia" w:ascii="仿宋_GB2312" w:hAnsi="仿宋_GB2312" w:cs="仿宋_GB2312"/>
          <w:szCs w:val="32"/>
          <w:highlight w:val="yellow"/>
          <w:lang w:bidi="ar"/>
        </w:rPr>
      </w:pPr>
      <w:r>
        <w:rPr>
          <w:rFonts w:hint="eastAsia" w:ascii="仿宋_GB2312" w:hAnsi="宋体"/>
          <w:szCs w:val="32"/>
          <w:highlight w:val="none"/>
        </w:rPr>
        <w:t>本</w:t>
      </w:r>
      <w:r>
        <w:rPr>
          <w:rFonts w:hint="eastAsia" w:ascii="仿宋_GB2312" w:hAnsi="宋体"/>
          <w:szCs w:val="32"/>
          <w:highlight w:val="none"/>
          <w:lang w:eastAsia="zh-CN"/>
        </w:rPr>
        <w:t>中心</w:t>
      </w:r>
      <w:r>
        <w:rPr>
          <w:rFonts w:hint="eastAsia" w:ascii="仿宋_GB2312" w:hAnsi="宋体"/>
          <w:szCs w:val="32"/>
          <w:highlight w:val="none"/>
        </w:rPr>
        <w:t>项目实际完成时间与计划完成时间一致</w:t>
      </w:r>
      <w:r>
        <w:rPr>
          <w:rFonts w:hint="eastAsia" w:ascii="仿宋_GB2312" w:hAnsi="宋体"/>
          <w:szCs w:val="32"/>
          <w:highlight w:val="none"/>
          <w:lang w:eastAsia="zh-CN"/>
        </w:rPr>
        <w:t>，</w:t>
      </w:r>
      <w:r>
        <w:rPr>
          <w:rFonts w:hint="eastAsia" w:ascii="仿宋_GB2312" w:hAnsi="宋体"/>
          <w:szCs w:val="32"/>
          <w:highlight w:val="none"/>
        </w:rPr>
        <w:t>按时按质完成</w:t>
      </w:r>
      <w:r>
        <w:rPr>
          <w:rFonts w:hint="eastAsia" w:ascii="仿宋_GB2312" w:hAnsi="宋体"/>
          <w:szCs w:val="32"/>
          <w:highlight w:val="none"/>
          <w:lang w:eastAsia="zh-CN"/>
        </w:rPr>
        <w:t>后</w:t>
      </w:r>
      <w:r>
        <w:rPr>
          <w:rFonts w:hint="eastAsia" w:ascii="仿宋_GB2312" w:hAnsi="宋体"/>
          <w:szCs w:val="32"/>
          <w:highlight w:val="none"/>
        </w:rPr>
        <w:t>，达到了保障阳西县辖区内公路畅通的目标。</w:t>
      </w:r>
    </w:p>
    <w:p w14:paraId="05AE270F">
      <w:pPr>
        <w:numPr>
          <w:ilvl w:val="0"/>
          <w:numId w:val="0"/>
        </w:numPr>
        <w:ind w:firstLine="924" w:firstLineChars="300"/>
        <w:rPr>
          <w:rFonts w:hint="eastAsia" w:ascii="仿宋_GB2312" w:hAnsi="仿宋_GB2312" w:cs="仿宋_GB2312"/>
          <w:szCs w:val="32"/>
          <w:highlight w:val="none"/>
          <w:lang w:bidi="ar"/>
        </w:rPr>
      </w:pPr>
      <w:bookmarkStart w:id="32" w:name="_Toc15830"/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仿宋_GB2312" w:cs="仿宋_GB2312"/>
          <w:szCs w:val="32"/>
          <w:highlight w:val="none"/>
          <w:lang w:bidi="ar"/>
        </w:rPr>
        <w:t>.效果性</w:t>
      </w:r>
      <w:bookmarkEnd w:id="32"/>
      <w:bookmarkStart w:id="33" w:name="_Toc18975"/>
    </w:p>
    <w:p w14:paraId="54DCB35C">
      <w:pPr>
        <w:spacing w:line="276" w:lineRule="auto"/>
        <w:ind w:firstLine="767" w:firstLineChars="249"/>
        <w:rPr>
          <w:rFonts w:hint="eastAsia" w:ascii="仿宋_GB2312" w:hAnsi="仿宋_GB2312" w:cs="仿宋_GB2312"/>
          <w:szCs w:val="32"/>
          <w:highlight w:val="yellow"/>
          <w:lang w:bidi="ar"/>
        </w:rPr>
      </w:pPr>
      <w:r>
        <w:rPr>
          <w:rFonts w:hint="eastAsia" w:ascii="仿宋_GB2312" w:hAnsi="宋体"/>
          <w:szCs w:val="32"/>
          <w:highlight w:val="none"/>
        </w:rPr>
        <w:t>本项目主要用于我中心公路</w:t>
      </w:r>
      <w:r>
        <w:rPr>
          <w:rFonts w:hint="eastAsia" w:ascii="宋体" w:hAnsi="宋体" w:eastAsia="宋体"/>
          <w:szCs w:val="32"/>
          <w:highlight w:val="none"/>
        </w:rPr>
        <w:t>、</w:t>
      </w:r>
      <w:r>
        <w:rPr>
          <w:rFonts w:hint="eastAsia" w:ascii="仿宋_GB2312" w:hAnsi="宋体"/>
          <w:szCs w:val="32"/>
          <w:highlight w:val="none"/>
        </w:rPr>
        <w:t>桥梁养护费以及公路</w:t>
      </w:r>
      <w:r>
        <w:rPr>
          <w:rFonts w:hint="eastAsia" w:ascii="宋体" w:hAnsi="宋体" w:eastAsia="宋体"/>
          <w:szCs w:val="32"/>
          <w:highlight w:val="none"/>
        </w:rPr>
        <w:t>、</w:t>
      </w:r>
      <w:r>
        <w:rPr>
          <w:rFonts w:hint="eastAsia" w:ascii="仿宋_GB2312" w:hAnsi="宋体"/>
          <w:szCs w:val="32"/>
          <w:highlight w:val="none"/>
        </w:rPr>
        <w:t>桥梁</w:t>
      </w:r>
      <w:r>
        <w:rPr>
          <w:rFonts w:hint="eastAsia" w:ascii="仿宋_GB2312" w:hAnsi="宋体"/>
          <w:szCs w:val="32"/>
          <w:highlight w:val="none"/>
          <w:lang w:eastAsia="zh-CN"/>
        </w:rPr>
        <w:t>专项维修整治修复费</w:t>
      </w:r>
      <w:r>
        <w:rPr>
          <w:rFonts w:hint="eastAsia" w:ascii="仿宋_GB2312" w:hAnsi="宋体"/>
          <w:szCs w:val="32"/>
          <w:highlight w:val="none"/>
        </w:rPr>
        <w:t>，能够产生和带动一定的社会效益，更好地保障辖区内公路畅通。</w:t>
      </w:r>
    </w:p>
    <w:p w14:paraId="124FC4A9">
      <w:pPr>
        <w:numPr>
          <w:ilvl w:val="0"/>
          <w:numId w:val="0"/>
        </w:numPr>
        <w:ind w:firstLine="924" w:firstLineChars="300"/>
        <w:rPr>
          <w:rFonts w:hint="eastAsia" w:ascii="仿宋_GB2312" w:hAnsi="仿宋_GB2312" w:cs="仿宋_GB2312"/>
          <w:szCs w:val="32"/>
          <w:highlight w:val="none"/>
          <w:lang w:bidi="ar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4.</w:t>
      </w:r>
      <w:r>
        <w:rPr>
          <w:rFonts w:hint="eastAsia" w:ascii="仿宋_GB2312" w:hAnsi="仿宋_GB2312" w:cs="仿宋_GB2312"/>
          <w:szCs w:val="32"/>
          <w:highlight w:val="none"/>
          <w:lang w:bidi="ar"/>
        </w:rPr>
        <w:t>公平性</w:t>
      </w:r>
    </w:p>
    <w:p w14:paraId="308C88C2">
      <w:pPr>
        <w:spacing w:line="276" w:lineRule="auto"/>
        <w:ind w:firstLine="632" w:firstLineChars="205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我中心有群众意见反映渠道和群众意见办理回复机制，202</w:t>
      </w:r>
      <w:r>
        <w:rPr>
          <w:rFonts w:hint="eastAsia" w:ascii="仿宋_GB2312" w:hAnsi="宋体"/>
          <w:szCs w:val="32"/>
          <w:lang w:val="en-US" w:eastAsia="zh-CN"/>
        </w:rPr>
        <w:t>5</w:t>
      </w:r>
      <w:r>
        <w:rPr>
          <w:rFonts w:hint="eastAsia" w:ascii="仿宋_GB2312" w:hAnsi="宋体"/>
          <w:szCs w:val="32"/>
        </w:rPr>
        <w:t>年度我中心有群众上访信访</w:t>
      </w:r>
      <w:r>
        <w:rPr>
          <w:rFonts w:hint="eastAsia" w:ascii="仿宋_GB2312" w:hAnsi="宋体"/>
          <w:szCs w:val="32"/>
          <w:lang w:val="en-US" w:eastAsia="zh-CN"/>
        </w:rPr>
        <w:t>2</w:t>
      </w:r>
      <w:r>
        <w:rPr>
          <w:rFonts w:hint="eastAsia" w:ascii="仿宋_GB2312" w:hAnsi="宋体"/>
          <w:szCs w:val="32"/>
        </w:rPr>
        <w:t>次，已按规定期限答复</w:t>
      </w:r>
      <w:r>
        <w:rPr>
          <w:rFonts w:hint="eastAsia" w:ascii="仿宋_GB2312" w:hAnsi="宋体"/>
          <w:szCs w:val="32"/>
          <w:lang w:val="en-US" w:eastAsia="zh-CN"/>
        </w:rPr>
        <w:t>2</w:t>
      </w:r>
      <w:r>
        <w:rPr>
          <w:rFonts w:hint="eastAsia" w:ascii="仿宋_GB2312" w:hAnsi="宋体"/>
          <w:szCs w:val="32"/>
        </w:rPr>
        <w:t>次。</w:t>
      </w:r>
    </w:p>
    <w:p w14:paraId="1FB9153A">
      <w:pPr>
        <w:spacing w:line="276" w:lineRule="auto"/>
        <w:ind w:firstLine="632" w:firstLineChars="205"/>
        <w:rPr>
          <w:rFonts w:hint="eastAsia" w:ascii="仿宋_GB2312" w:hAnsi="宋体"/>
          <w:szCs w:val="32"/>
        </w:rPr>
      </w:pPr>
    </w:p>
    <w:p w14:paraId="45A22CD8">
      <w:pPr>
        <w:ind w:firstLine="616" w:firstLineChars="200"/>
        <w:rPr>
          <w:rFonts w:hint="eastAsia"/>
          <w:highlight w:val="none"/>
          <w:lang w:eastAsia="zh-CN"/>
        </w:rPr>
      </w:pPr>
      <w:r>
        <w:rPr>
          <w:rFonts w:hint="eastAsia" w:ascii="方正小标宋简体" w:eastAsia="方正小标宋简体"/>
          <w:highlight w:val="none"/>
        </w:rPr>
        <w:t>四、存在的问题、原因分析及改进措施</w:t>
      </w:r>
    </w:p>
    <w:p w14:paraId="2EB10848">
      <w:pPr>
        <w:ind w:firstLine="616" w:firstLineChars="200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无</w:t>
      </w:r>
    </w:p>
    <w:p w14:paraId="6B82016D">
      <w:pPr>
        <w:ind w:firstLine="616" w:firstLineChars="200"/>
        <w:rPr>
          <w:rFonts w:hint="eastAsia"/>
          <w:highlight w:val="none"/>
          <w:lang w:eastAsia="zh-CN"/>
        </w:rPr>
      </w:pPr>
    </w:p>
    <w:p w14:paraId="7432474B">
      <w:pPr>
        <w:ind w:firstLine="616" w:firstLineChars="200"/>
        <w:rPr>
          <w:rFonts w:ascii="方正小标宋简体" w:eastAsia="方正小标宋简体"/>
          <w:highlight w:val="none"/>
        </w:rPr>
      </w:pPr>
      <w:r>
        <w:rPr>
          <w:rFonts w:hint="eastAsia" w:ascii="方正小标宋简体" w:eastAsia="方正小标宋简体"/>
          <w:highlight w:val="none"/>
        </w:rPr>
        <w:t>五、其他需要说明的情况</w:t>
      </w:r>
    </w:p>
    <w:p w14:paraId="12B14884">
      <w:pPr>
        <w:ind w:firstLine="616" w:firstLineChars="200"/>
        <w:rPr>
          <w:rFonts w:hint="eastAsia" w:eastAsia="仿宋_GB2312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无</w:t>
      </w:r>
    </w:p>
    <w:bookmarkEnd w:id="33"/>
    <w:p w14:paraId="7DF3DCBA"/>
    <w:sectPr>
      <w:headerReference r:id="rId3" w:type="default"/>
      <w:pgSz w:w="11906" w:h="16838"/>
      <w:pgMar w:top="1701" w:right="1588" w:bottom="1644" w:left="1701" w:header="851" w:footer="992" w:gutter="0"/>
      <w:cols w:space="425" w:num="1"/>
      <w:docGrid w:type="linesAndChars" w:linePitch="562" w:charSpace="-2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675D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4"/>
  <w:drawingGridVerticalSpacing w:val="2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RlMThiMzM3MDY3MjQyMzEzZTdjM2Q2ZTdhZGNhMjEifQ=="/>
  </w:docVars>
  <w:rsids>
    <w:rsidRoot w:val="00DA04CD"/>
    <w:rsid w:val="00007A67"/>
    <w:rsid w:val="00022542"/>
    <w:rsid w:val="000258AA"/>
    <w:rsid w:val="000D1E99"/>
    <w:rsid w:val="0012286D"/>
    <w:rsid w:val="00132593"/>
    <w:rsid w:val="00145B76"/>
    <w:rsid w:val="00170E39"/>
    <w:rsid w:val="001834A3"/>
    <w:rsid w:val="00195019"/>
    <w:rsid w:val="001B111B"/>
    <w:rsid w:val="001B4856"/>
    <w:rsid w:val="001D33F5"/>
    <w:rsid w:val="001E1FDF"/>
    <w:rsid w:val="001F096B"/>
    <w:rsid w:val="0022603D"/>
    <w:rsid w:val="00235EDE"/>
    <w:rsid w:val="002A7F8F"/>
    <w:rsid w:val="002C4D92"/>
    <w:rsid w:val="002D7EDF"/>
    <w:rsid w:val="002E516E"/>
    <w:rsid w:val="002E5CB6"/>
    <w:rsid w:val="002F1311"/>
    <w:rsid w:val="00314DC0"/>
    <w:rsid w:val="00331AA1"/>
    <w:rsid w:val="00347820"/>
    <w:rsid w:val="00347914"/>
    <w:rsid w:val="00395359"/>
    <w:rsid w:val="003B7E05"/>
    <w:rsid w:val="004078CE"/>
    <w:rsid w:val="00410146"/>
    <w:rsid w:val="00413B2F"/>
    <w:rsid w:val="00421D22"/>
    <w:rsid w:val="0043014F"/>
    <w:rsid w:val="004531CF"/>
    <w:rsid w:val="004749F5"/>
    <w:rsid w:val="00486009"/>
    <w:rsid w:val="004B2E77"/>
    <w:rsid w:val="004D35D6"/>
    <w:rsid w:val="004D736E"/>
    <w:rsid w:val="00510F6B"/>
    <w:rsid w:val="00537F7E"/>
    <w:rsid w:val="00566EB1"/>
    <w:rsid w:val="00574D73"/>
    <w:rsid w:val="005B06B5"/>
    <w:rsid w:val="005B07DD"/>
    <w:rsid w:val="005B6EB7"/>
    <w:rsid w:val="005B7DAB"/>
    <w:rsid w:val="005C28C3"/>
    <w:rsid w:val="005D4C3F"/>
    <w:rsid w:val="005E6FE2"/>
    <w:rsid w:val="00606F30"/>
    <w:rsid w:val="00620700"/>
    <w:rsid w:val="0062264E"/>
    <w:rsid w:val="006265B7"/>
    <w:rsid w:val="006317C3"/>
    <w:rsid w:val="00665117"/>
    <w:rsid w:val="00675A9A"/>
    <w:rsid w:val="006B0F8D"/>
    <w:rsid w:val="006D4795"/>
    <w:rsid w:val="0074594E"/>
    <w:rsid w:val="00754811"/>
    <w:rsid w:val="007705F1"/>
    <w:rsid w:val="00781B6C"/>
    <w:rsid w:val="0078264B"/>
    <w:rsid w:val="007A7399"/>
    <w:rsid w:val="00804DCB"/>
    <w:rsid w:val="00816A2A"/>
    <w:rsid w:val="008428B2"/>
    <w:rsid w:val="0084340E"/>
    <w:rsid w:val="0086235A"/>
    <w:rsid w:val="00876A57"/>
    <w:rsid w:val="00880F2C"/>
    <w:rsid w:val="008B525A"/>
    <w:rsid w:val="008C30AE"/>
    <w:rsid w:val="008E75C3"/>
    <w:rsid w:val="0090022C"/>
    <w:rsid w:val="00982492"/>
    <w:rsid w:val="00A66BD5"/>
    <w:rsid w:val="00A813BE"/>
    <w:rsid w:val="00A8644D"/>
    <w:rsid w:val="00A91495"/>
    <w:rsid w:val="00AC5B70"/>
    <w:rsid w:val="00AF7207"/>
    <w:rsid w:val="00B05F42"/>
    <w:rsid w:val="00B12D08"/>
    <w:rsid w:val="00B32B1B"/>
    <w:rsid w:val="00B55F8F"/>
    <w:rsid w:val="00BA5204"/>
    <w:rsid w:val="00BF3EFE"/>
    <w:rsid w:val="00BF4502"/>
    <w:rsid w:val="00C005AF"/>
    <w:rsid w:val="00C10A76"/>
    <w:rsid w:val="00C112EA"/>
    <w:rsid w:val="00CD5F4B"/>
    <w:rsid w:val="00D24C0F"/>
    <w:rsid w:val="00D41CC7"/>
    <w:rsid w:val="00D45282"/>
    <w:rsid w:val="00D46575"/>
    <w:rsid w:val="00D67E60"/>
    <w:rsid w:val="00D73EB4"/>
    <w:rsid w:val="00D74AD4"/>
    <w:rsid w:val="00D82FAA"/>
    <w:rsid w:val="00DA04CD"/>
    <w:rsid w:val="00DA43A7"/>
    <w:rsid w:val="00DA5CEB"/>
    <w:rsid w:val="00DC37C4"/>
    <w:rsid w:val="00DC4199"/>
    <w:rsid w:val="00DE17BB"/>
    <w:rsid w:val="00DF7A41"/>
    <w:rsid w:val="00E03302"/>
    <w:rsid w:val="00E21FA4"/>
    <w:rsid w:val="00E23CAC"/>
    <w:rsid w:val="00E3272E"/>
    <w:rsid w:val="00E71A39"/>
    <w:rsid w:val="00E82D5B"/>
    <w:rsid w:val="00EA4E69"/>
    <w:rsid w:val="00EC4520"/>
    <w:rsid w:val="00ED3E32"/>
    <w:rsid w:val="00ED5CA9"/>
    <w:rsid w:val="00F04107"/>
    <w:rsid w:val="00F14CD1"/>
    <w:rsid w:val="00F43167"/>
    <w:rsid w:val="00F43EA4"/>
    <w:rsid w:val="00F57915"/>
    <w:rsid w:val="00FF40BF"/>
    <w:rsid w:val="039B157F"/>
    <w:rsid w:val="04867BEF"/>
    <w:rsid w:val="07342343"/>
    <w:rsid w:val="0BA03405"/>
    <w:rsid w:val="0EF645A0"/>
    <w:rsid w:val="14873384"/>
    <w:rsid w:val="19C309AE"/>
    <w:rsid w:val="211F3CF1"/>
    <w:rsid w:val="2AD84823"/>
    <w:rsid w:val="2E896544"/>
    <w:rsid w:val="312F2E45"/>
    <w:rsid w:val="37BCBC18"/>
    <w:rsid w:val="3CB63CA9"/>
    <w:rsid w:val="46D655C8"/>
    <w:rsid w:val="4AEE06AD"/>
    <w:rsid w:val="544B3805"/>
    <w:rsid w:val="547C16AB"/>
    <w:rsid w:val="54EA7434"/>
    <w:rsid w:val="56147494"/>
    <w:rsid w:val="57CA2524"/>
    <w:rsid w:val="5A583C33"/>
    <w:rsid w:val="5EAF1A52"/>
    <w:rsid w:val="60700A8D"/>
    <w:rsid w:val="61E737AA"/>
    <w:rsid w:val="637FAB0F"/>
    <w:rsid w:val="67BD1E3D"/>
    <w:rsid w:val="68681920"/>
    <w:rsid w:val="6AB35823"/>
    <w:rsid w:val="6DA5433C"/>
    <w:rsid w:val="73586007"/>
    <w:rsid w:val="7DEFCE2A"/>
    <w:rsid w:val="DDF69C22"/>
    <w:rsid w:val="EEFF26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8">
    <w:name w:val="正文首行缩进 21"/>
    <w:basedOn w:val="1"/>
    <w:qFormat/>
    <w:uiPriority w:val="0"/>
    <w:pPr>
      <w:spacing w:line="360" w:lineRule="auto"/>
      <w:ind w:firstLine="420" w:firstLineChars="200"/>
      <w:textAlignment w:val="baseline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1395</Words>
  <Characters>1486</Characters>
  <Lines>6</Lines>
  <Paragraphs>1</Paragraphs>
  <TotalTime>0</TotalTime>
  <ScaleCrop>false</ScaleCrop>
  <LinksUpToDate>false</LinksUpToDate>
  <CharactersWithSpaces>1536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2020-07-15T16:14:00Z</dcterms:created>
  <dc:creator>苏锦雯</dc:creator>
  <cp:lastModifiedBy>Aviva</cp:lastModifiedBy>
  <cp:lastPrinted>2020-07-15T16:13:00Z</cp:lastPrinted>
  <dcterms:modified xsi:type="dcterms:W3CDTF">2026-04-27T01:53:51Z</dcterms:modified>
  <dc:title>附件2-1.市级财政资金绩效自评报告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B15D5FE04C214C6DB5D9D8AC438660BF</vt:lpwstr>
  </property>
  <property fmtid="{D5CDD505-2E9C-101B-9397-08002B2CF9AE}" pid="4" name="KSOTemplateDocerSaveRecord">
    <vt:lpwstr>eyJoZGlkIjoiZGU2ZWIzZjYxNzA3MmJhODkxNGU5ZDk0MjU1N2U3ZmUiLCJ1c2VySWQiOiIxMTU1ODk3NTIyIn0=</vt:lpwstr>
  </property>
</Properties>
</file>