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0B855">
      <w:pPr>
        <w:rPr>
          <w:rFonts w:ascii="宋体" w:hAnsi="宋体" w:eastAsia="宋体"/>
          <w:sz w:val="28"/>
          <w:szCs w:val="28"/>
        </w:rPr>
      </w:pPr>
      <w:bookmarkStart w:id="32" w:name="_GoBack"/>
      <w:bookmarkEnd w:id="32"/>
      <w:r>
        <w:rPr>
          <w:rFonts w:hint="eastAsia" w:ascii="宋体" w:hAnsi="宋体" w:eastAsia="宋体"/>
          <w:sz w:val="28"/>
          <w:szCs w:val="28"/>
        </w:rPr>
        <w:t>附件2-3</w:t>
      </w:r>
    </w:p>
    <w:p w14:paraId="4C3D529F"/>
    <w:p w14:paraId="162785DF">
      <w:pPr>
        <w:spacing w:line="36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县级部门整体支出绩效自评报告</w:t>
      </w:r>
    </w:p>
    <w:p w14:paraId="3A375EFE">
      <w:pPr>
        <w:rPr>
          <w:rFonts w:hint="eastAsia" w:ascii="仿宋_GB2312"/>
          <w:szCs w:val="44"/>
          <w:lang w:val="en-US" w:eastAsia="zh-CN"/>
        </w:rPr>
      </w:pPr>
      <w:r>
        <w:rPr>
          <w:rFonts w:hint="eastAsia" w:ascii="仿宋_GB2312"/>
          <w:szCs w:val="44"/>
          <w:lang w:val="en-US" w:eastAsia="zh-CN"/>
        </w:rPr>
        <w:t xml:space="preserve"> </w:t>
      </w:r>
    </w:p>
    <w:p w14:paraId="5A9A3F76">
      <w:pPr>
        <w:rPr>
          <w:rFonts w:hint="eastAsia" w:ascii="仿宋_GB2312"/>
          <w:szCs w:val="44"/>
          <w:lang w:val="en-US" w:eastAsia="zh-CN"/>
        </w:rPr>
      </w:pPr>
    </w:p>
    <w:p w14:paraId="13A5E0A1"/>
    <w:p w14:paraId="4B368D13"/>
    <w:p w14:paraId="53925C7A"/>
    <w:p w14:paraId="6CF1A89C">
      <w:pPr>
        <w:ind w:firstLine="1894" w:firstLineChars="592"/>
        <w:rPr>
          <w:rFonts w:hint="default" w:eastAsia="仿宋_GB2312"/>
          <w:lang w:val="en-US" w:eastAsia="zh-CN"/>
        </w:rPr>
      </w:pPr>
      <w:r>
        <w:rPr>
          <w:rFonts w:hint="eastAsia"/>
        </w:rPr>
        <w:t>部门名称（公章）：</w:t>
      </w:r>
      <w:r>
        <w:rPr>
          <w:rFonts w:hint="eastAsia" w:ascii="仿宋_GB2312"/>
          <w:lang w:val="en-US" w:eastAsia="zh-CN"/>
        </w:rPr>
        <w:t>阳西县工业和信息化局</w:t>
      </w:r>
    </w:p>
    <w:p w14:paraId="39D9B76E">
      <w:pPr>
        <w:ind w:firstLine="1894" w:firstLineChars="592"/>
        <w:rPr>
          <w:rFonts w:hint="default" w:eastAsia="仿宋_GB2312"/>
          <w:lang w:val="en-US" w:eastAsia="zh-CN"/>
        </w:rPr>
      </w:pPr>
      <w:r>
        <w:rPr>
          <w:rFonts w:hint="eastAsia"/>
        </w:rPr>
        <w:t>填报人姓名：</w:t>
      </w:r>
      <w:r>
        <w:rPr>
          <w:rFonts w:hint="eastAsia"/>
          <w:lang w:val="en-US" w:eastAsia="zh-CN"/>
        </w:rPr>
        <w:t>卢水蓝</w:t>
      </w:r>
    </w:p>
    <w:p w14:paraId="2E418159">
      <w:pPr>
        <w:ind w:firstLine="1894" w:firstLineChars="592"/>
        <w:rPr>
          <w:rFonts w:hint="default" w:eastAsia="仿宋_GB2312"/>
          <w:lang w:val="en-US" w:eastAsia="zh-CN"/>
        </w:rPr>
      </w:pPr>
      <w:r>
        <w:rPr>
          <w:rFonts w:hint="eastAsia"/>
        </w:rPr>
        <w:t>联系电话：</w:t>
      </w:r>
      <w:r>
        <w:rPr>
          <w:rFonts w:hint="eastAsia"/>
          <w:lang w:val="en-US" w:eastAsia="zh-CN"/>
        </w:rPr>
        <w:t>0662-5550091</w:t>
      </w:r>
    </w:p>
    <w:p w14:paraId="6FF2604E">
      <w:pPr>
        <w:ind w:firstLine="1894" w:firstLineChars="592"/>
        <w:rPr>
          <w:rFonts w:hint="default" w:eastAsia="仿宋_GB2312"/>
          <w:lang w:val="en-US" w:eastAsia="zh-CN"/>
        </w:rPr>
      </w:pPr>
      <w:r>
        <w:rPr>
          <w:rFonts w:hint="eastAsia"/>
        </w:rPr>
        <w:t>填报日期：</w:t>
      </w:r>
      <w:r>
        <w:rPr>
          <w:rFonts w:hint="eastAsia"/>
          <w:lang w:val="en-US" w:eastAsia="zh-CN"/>
        </w:rPr>
        <w:t>2026年4月8日</w:t>
      </w:r>
    </w:p>
    <w:p w14:paraId="7F308A60"/>
    <w:p w14:paraId="2BE37823"/>
    <w:p w14:paraId="1FB410B5"/>
    <w:p w14:paraId="66E25F16"/>
    <w:p w14:paraId="2B7085CB">
      <w:r>
        <w:rPr>
          <w:rFonts w:hint="eastAsia"/>
        </w:rPr>
        <w:t xml:space="preserve">                     阳西县财政局制</w:t>
      </w:r>
    </w:p>
    <w:p w14:paraId="0803890B">
      <w:r>
        <w:rPr>
          <w:rFonts w:hint="eastAsia"/>
        </w:rPr>
        <w:t xml:space="preserve">                         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</w:p>
    <w:p w14:paraId="569B9169"/>
    <w:p w14:paraId="63407DA9"/>
    <w:p w14:paraId="691C71A2">
      <w:pPr>
        <w:pStyle w:val="11"/>
        <w:ind w:firstLine="640"/>
        <w:rPr>
          <w:rFonts w:ascii="仿宋_GB2312" w:hAnsi="Times New Roman" w:eastAsia="仿宋_GB2312"/>
          <w:sz w:val="32"/>
          <w:szCs w:val="32"/>
        </w:rPr>
        <w:sectPr>
          <w:pgSz w:w="11906" w:h="16838"/>
          <w:pgMar w:top="2041" w:right="1417" w:bottom="1417" w:left="1531" w:header="851" w:footer="992" w:gutter="0"/>
          <w:pgNumType w:fmt="numberInDash" w:start="1"/>
          <w:cols w:space="720" w:num="1"/>
          <w:docGrid w:type="lines" w:linePitch="312" w:charSpace="0"/>
        </w:sectPr>
      </w:pPr>
    </w:p>
    <w:p w14:paraId="34014B20">
      <w:pPr>
        <w:ind w:firstLine="616" w:firstLineChars="200"/>
        <w:rPr>
          <w:rFonts w:ascii="方正小标宋简体" w:eastAsia="方正小标宋简体"/>
        </w:rPr>
      </w:pPr>
      <w:bookmarkStart w:id="0" w:name="_Toc28838"/>
      <w:bookmarkStart w:id="1" w:name="_Toc8021_WPSOffice_Level2"/>
      <w:r>
        <w:rPr>
          <w:rFonts w:hint="eastAsia" w:ascii="方正小标宋简体" w:eastAsia="方正小标宋简体"/>
        </w:rPr>
        <w:t>一、部门基本情况</w:t>
      </w:r>
      <w:bookmarkEnd w:id="0"/>
    </w:p>
    <w:bookmarkEnd w:id="1"/>
    <w:p w14:paraId="052E125D">
      <w:pPr>
        <w:ind w:firstLine="616" w:firstLineChars="200"/>
        <w:rPr>
          <w:b/>
        </w:rPr>
      </w:pPr>
      <w:bookmarkStart w:id="2" w:name="_Toc5988_WPSOffice_Level3"/>
      <w:bookmarkStart w:id="3" w:name="_Toc30104"/>
      <w:bookmarkStart w:id="4" w:name="_Toc23683"/>
      <w:r>
        <w:rPr>
          <w:rFonts w:hint="eastAsia"/>
          <w:b/>
        </w:rPr>
        <w:t>（一）部门整体概况</w:t>
      </w:r>
      <w:bookmarkEnd w:id="2"/>
      <w:bookmarkEnd w:id="3"/>
      <w:bookmarkEnd w:id="4"/>
      <w:r>
        <w:rPr>
          <w:rFonts w:hint="eastAsia"/>
          <w:b/>
        </w:rPr>
        <w:t>。</w:t>
      </w:r>
    </w:p>
    <w:p w14:paraId="7B7AEC5C">
      <w:pPr>
        <w:ind w:firstLine="616" w:firstLineChars="200"/>
        <w:rPr>
          <w:rFonts w:hint="eastAsia" w:ascii="仿宋_GB2312" w:hAnsi="仿宋_GB2312" w:cs="仿宋_GB2312"/>
          <w:bCs/>
          <w:szCs w:val="32"/>
          <w:lang w:eastAsia="zh-CN" w:bidi="ar"/>
        </w:rPr>
      </w:pPr>
      <w:bookmarkStart w:id="5" w:name="_Toc25996"/>
      <w:bookmarkStart w:id="6" w:name="_Toc14936_WPSOffice_Level2"/>
      <w:r>
        <w:rPr>
          <w:rFonts w:hint="eastAsia" w:ascii="仿宋_GB2312" w:hAnsi="仿宋_GB2312" w:cs="仿宋_GB2312"/>
          <w:bCs/>
          <w:szCs w:val="32"/>
          <w:lang w:val="en-US" w:eastAsia="zh-CN" w:bidi="ar"/>
        </w:rPr>
        <w:t>1.</w:t>
      </w:r>
      <w:r>
        <w:rPr>
          <w:rFonts w:hint="eastAsia" w:ascii="仿宋_GB2312" w:hAnsi="仿宋_GB2312" w:cs="仿宋_GB2312"/>
          <w:bCs/>
          <w:szCs w:val="32"/>
          <w:lang w:bidi="ar"/>
        </w:rPr>
        <w:t>主要职责</w:t>
      </w:r>
      <w:r>
        <w:rPr>
          <w:rFonts w:hint="eastAsia" w:ascii="仿宋_GB2312" w:hAnsi="仿宋_GB2312" w:cs="仿宋_GB2312"/>
          <w:bCs/>
          <w:szCs w:val="32"/>
          <w:lang w:eastAsia="zh-CN" w:bidi="ar"/>
        </w:rPr>
        <w:t>。</w:t>
      </w:r>
    </w:p>
    <w:p w14:paraId="020904C8">
      <w:pPr>
        <w:keepNext w:val="0"/>
        <w:keepLines w:val="0"/>
        <w:widowControl/>
        <w:suppressLineNumbers w:val="0"/>
        <w:ind w:firstLine="616" w:firstLineChars="20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阳西县工业和信息化局是县政府工作部门，为正科级，加挂 </w:t>
      </w:r>
    </w:p>
    <w:p w14:paraId="03BB2977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阳西县科学技术局牌子。县工业和信息化局贯彻落实党中央关于 </w:t>
      </w:r>
    </w:p>
    <w:p w14:paraId="67B14451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工业和信息化、科技创新工作的方针政策和决策部署，按照省 </w:t>
      </w:r>
    </w:p>
    <w:p w14:paraId="1B6CDEFA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委、市委和县委工作要求，在履行职责过程中坚持和加强党对工 </w:t>
      </w:r>
    </w:p>
    <w:p w14:paraId="30498BD9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业和信息化和科技创新工作的集中统一领导。主要职责是： </w:t>
      </w:r>
    </w:p>
    <w:p w14:paraId="2F365226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（一）拟订工业、信息化领域并组织实施。研究提出全县新 </w:t>
      </w:r>
    </w:p>
    <w:p w14:paraId="663C1DDE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型工业化发展战略，推进信息化和工业化融合发展，推进生产服 </w:t>
      </w:r>
    </w:p>
    <w:p w14:paraId="7192C6D4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务业与制造业融合发展。 </w:t>
      </w:r>
    </w:p>
    <w:p w14:paraId="557E0F3E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（二）拟订工业、信息化领域发展规划、计划和产业政策并 </w:t>
      </w:r>
    </w:p>
    <w:p w14:paraId="33076142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组织实施，提出优化工业布局、结构的政策建议。组织拟订相关 </w:t>
      </w:r>
    </w:p>
    <w:p w14:paraId="5BB34C19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产业技术规范和标准并实施。指导工业和信息化领域加强质量管 </w:t>
      </w:r>
    </w:p>
    <w:p w14:paraId="42B052B9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理和安全生产工作。 </w:t>
      </w:r>
    </w:p>
    <w:p w14:paraId="3D385C56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（三）监测分析工业、信息化领域运行态势并做好相关信息 </w:t>
      </w:r>
    </w:p>
    <w:p w14:paraId="4D610ECC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发布，进行预测预警和信息引导，协调解决行业运行发展中的重 </w:t>
      </w:r>
    </w:p>
    <w:p w14:paraId="59D1B8F9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大问题并提出政策建议。牵头负责企业情况综合工作。 </w:t>
      </w:r>
    </w:p>
    <w:p w14:paraId="4D7D61ED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（四）指导工业、信息化领域的技术进步、技术创新、技术 </w:t>
      </w:r>
    </w:p>
    <w:p w14:paraId="30754CA3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引进、消化吸收和再创新、重大技术装备国产化、重大技术装备 </w:t>
      </w:r>
    </w:p>
    <w:p w14:paraId="63BB8F62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研制工作，推进相关科研成果产业化。 </w:t>
      </w:r>
    </w:p>
    <w:p w14:paraId="69FA6187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（五）执行有关固定资产投资政策，编制工业、信息化领域 </w:t>
      </w:r>
    </w:p>
    <w:p w14:paraId="2C6AEE1A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企业技术改造、技术创新等专项资金年度计划并组织实施，审 </w:t>
      </w:r>
    </w:p>
    <w:p w14:paraId="35191213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核、上报和办理需经国家、省、市和县审批、核准的工业、信息 </w:t>
      </w:r>
    </w:p>
    <w:p w14:paraId="51ADEC06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化领域企业技术改造投资项目，提出促进工业、信息化领域企业 </w:t>
      </w:r>
    </w:p>
    <w:p w14:paraId="35DBE5FE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技术改造投资的措施和意见，促进工业投资。负责归口的各项财 </w:t>
      </w:r>
    </w:p>
    <w:p w14:paraId="176C08F1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政专项资金和经费的总体计划、实施管理、绩效评价等工作。 </w:t>
      </w:r>
    </w:p>
    <w:p w14:paraId="2396C08F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（六）拟订工业园区中长期发展规划和政策措施并组织实 </w:t>
      </w:r>
    </w:p>
    <w:p w14:paraId="7DCB4CE4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施。承担工业园区的综合协调和提质发展、扩能增效工作，指导 </w:t>
      </w:r>
    </w:p>
    <w:p w14:paraId="6EA4A46E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推进工业园区合理布局、工业进园和产业集聚发展。研究协调工 </w:t>
      </w:r>
    </w:p>
    <w:p w14:paraId="16FFB21D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业园区发展中的重大问题，提出政策建议。承担县产业转移工业 </w:t>
      </w:r>
    </w:p>
    <w:p w14:paraId="09EF65E3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园的认定、调整及绩效评价工作。 </w:t>
      </w:r>
    </w:p>
    <w:p w14:paraId="43BFB83A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（七）拟订工业、信息化领域能源节约、循环经济、资源综 </w:t>
      </w:r>
    </w:p>
    <w:p w14:paraId="15E5F679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合利用和促进清洁生产的专项规划及政策措施并组织实施。推进 </w:t>
      </w:r>
    </w:p>
    <w:p w14:paraId="0A963521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绿色制造。协调以节能降耗为主要内容的相关重大示范工程和新 </w:t>
      </w:r>
    </w:p>
    <w:p w14:paraId="16B192C4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产品、新技术、新设备、新材料的推广应用。 </w:t>
      </w:r>
    </w:p>
    <w:p w14:paraId="11B7D5BA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（八）推进国民经济和社会信息化工作，协调指导经济社会 </w:t>
      </w:r>
    </w:p>
    <w:p w14:paraId="65EE1813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领域的信息化应用。推进信息技术和互联网的普及应用。协调推 </w:t>
      </w:r>
    </w:p>
    <w:p w14:paraId="4C55F3A6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进信息化基础设施建设。负责信息网络基础设施建设的规划、管 </w:t>
      </w:r>
    </w:p>
    <w:p w14:paraId="6F4709CF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理有关协调工作，协调通信管线、站点、公共通信网规划，推进 </w:t>
      </w:r>
    </w:p>
    <w:p w14:paraId="63CF2865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服务信息网络的资源共享和互联互通。协助推进国家及省、市、 </w:t>
      </w:r>
    </w:p>
    <w:p w14:paraId="21D17DAC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县重点信息化工程建设。 </w:t>
      </w:r>
    </w:p>
    <w:p w14:paraId="6E7C38E1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（九）拟订民用爆炸物品发展规划和政策措施，组织实施民 </w:t>
      </w:r>
    </w:p>
    <w:p w14:paraId="2D3BCCD5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用爆炸物品生产销售环节建设项目、科技项目管理和产品质量监 </w:t>
      </w:r>
    </w:p>
    <w:p w14:paraId="2E88583E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管。负责民用爆炸物品生产、销售环节安全的监督管理。 </w:t>
      </w:r>
    </w:p>
    <w:p w14:paraId="544127F3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（十）负责中小企业和民营经济发展的宏观指导和服务，综 </w:t>
      </w:r>
    </w:p>
    <w:p w14:paraId="01306CC6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合协调有关部门拟订促进中小企业和民营经济发展的政策措施。 </w:t>
      </w:r>
    </w:p>
    <w:p w14:paraId="39BADBBB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协调解决中小企业和民营经济发展中的有关重大问题。促进中小 </w:t>
      </w:r>
    </w:p>
    <w:p w14:paraId="010851D3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企业与大企业融通发展。 </w:t>
      </w:r>
    </w:p>
    <w:p w14:paraId="77836B10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（十一）承担促进工业数字经济和工业大数据产业的发展工 </w:t>
      </w:r>
    </w:p>
    <w:p w14:paraId="1BD84929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作。拟订促进工业数字经济和工业大数据产业发展的战略、规划 </w:t>
      </w:r>
    </w:p>
    <w:p w14:paraId="5595097C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和政策措施并组织实施。研究制定工业大数据收集、管理和开发 </w:t>
      </w:r>
    </w:p>
    <w:p w14:paraId="097D1ABD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应用的标准规范。推进工业大数据开发、应用和管理创新。 </w:t>
      </w:r>
    </w:p>
    <w:p w14:paraId="5502D2F7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（十二）配置和管理无线电频谱资源，依法监督管理无线电 </w:t>
      </w:r>
    </w:p>
    <w:p w14:paraId="16BCFB94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台（站）。负责无线电监测、检测、干扰查处工作，协调处理电 </w:t>
      </w:r>
    </w:p>
    <w:p w14:paraId="7906AA68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磁干扰事宜，维护空中电波秩序，依法组织实施无线电管制。 </w:t>
      </w:r>
    </w:p>
    <w:p w14:paraId="5592CC2A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（十三）会同有关部门提出全县科技发展重大布局、优先领 </w:t>
      </w:r>
    </w:p>
    <w:p w14:paraId="4F907942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域政策性建议，编制和实施全县中长期科技和年度计划，组织实 </w:t>
      </w:r>
    </w:p>
    <w:p w14:paraId="7949F234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施全县重点应用研究、开发研究等科技规划，负责统筹协调前沿 </w:t>
      </w:r>
    </w:p>
    <w:p w14:paraId="00520A10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技术研究、共性技术研究，牵头组织经济社会发展重要领域的重 </w:t>
      </w:r>
    </w:p>
    <w:p w14:paraId="0F680606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大关键技术、共性技术攻关。 </w:t>
      </w:r>
    </w:p>
    <w:p w14:paraId="5F252690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（十四）会同有关部门组织科技重大专项实施中的方案论 </w:t>
      </w:r>
    </w:p>
    <w:p w14:paraId="4BA588E0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证、综合平衡、评估验收和制定相关配套政策，对科技重大专项 </w:t>
      </w:r>
    </w:p>
    <w:p w14:paraId="60647CB7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实施中的调整提出意见。 </w:t>
      </w:r>
    </w:p>
    <w:p w14:paraId="1A181402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（十五）承担推进全县创新体系建设，会同有关部门编制全 </w:t>
      </w:r>
    </w:p>
    <w:p w14:paraId="596BDCCC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县创新体系建设规划，拟订促进全县技术创新的政策措施；优化 </w:t>
      </w:r>
    </w:p>
    <w:p w14:paraId="609185EB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科研体系建设，指导科研机构改革发展；推进科技创新平台建设 </w:t>
      </w:r>
    </w:p>
    <w:p w14:paraId="5453B458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与科技资源共享，拟订科技促进企业自主创新的政策措施，推动 </w:t>
      </w:r>
    </w:p>
    <w:p w14:paraId="526355D0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企业自主创新能力建设。 </w:t>
      </w:r>
    </w:p>
    <w:p w14:paraId="03F34C49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（十六）组织拟订高新技术发展及其产业化政策措施，指导 </w:t>
      </w:r>
    </w:p>
    <w:p w14:paraId="4574B670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高新技术产业化及应用技术的开发与推广，加强高新技术企业培 </w:t>
      </w:r>
    </w:p>
    <w:p w14:paraId="7F2E3B39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育，指导高新技术产业开发区、各类科技示范推广基地的建设。 </w:t>
      </w:r>
    </w:p>
    <w:p w14:paraId="7F4663D8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牵头组织实验室建设，推动科研条件保障建设和科技资源开放共 </w:t>
      </w:r>
    </w:p>
    <w:p w14:paraId="767B66BC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享。 </w:t>
      </w:r>
    </w:p>
    <w:p w14:paraId="57749148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（十七）负责科技合作交流工作，牵头拟订促进产学研结合 </w:t>
      </w:r>
    </w:p>
    <w:p w14:paraId="23CC759F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的相关政策措施，组织实施深化产学研合作计划，指导科技成果 </w:t>
      </w:r>
    </w:p>
    <w:p w14:paraId="25E22622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转化工作，组织相关重大科技成果应用示范。 </w:t>
      </w:r>
    </w:p>
    <w:p w14:paraId="444E8D21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（十八）组织拟订科技促进农业农村和社会发展的规划及措 </w:t>
      </w:r>
    </w:p>
    <w:p w14:paraId="50DBB0AA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施，会同有关部门推进全县专业镇科技创新示范试点建设，开展 </w:t>
      </w:r>
    </w:p>
    <w:p w14:paraId="6452A683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以民生为重点的科技惠民工作，促进农业农村建设和社会建设。 </w:t>
      </w:r>
    </w:p>
    <w:p w14:paraId="149471F9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（十九）拟订科技服务业、技术市场、科技中介组织发展的 </w:t>
      </w:r>
    </w:p>
    <w:p w14:paraId="7804D74E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政策措施，负责科学服务业、技术市场、科技中介组织的指导和 </w:t>
      </w:r>
    </w:p>
    <w:p w14:paraId="7A3B93FD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监督管理，负责科技统计管理，推进民营科技工作，负责全县科 </w:t>
      </w:r>
    </w:p>
    <w:p w14:paraId="6676134E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技装备动员相关工作。 </w:t>
      </w:r>
    </w:p>
    <w:p w14:paraId="6EEDC940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（二十）负责部门预决算及经费使用的监督管理，会同有关 </w:t>
      </w:r>
    </w:p>
    <w:p w14:paraId="0958CB5A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部门提出科技投入及优化科技资源配置的重大政策和措施建议， </w:t>
      </w:r>
    </w:p>
    <w:p w14:paraId="4024BE2D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推动多元化科技投入体系建设；协调管理县级财政科技计划专项 </w:t>
      </w:r>
    </w:p>
    <w:p w14:paraId="77EBF6AC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资金并监督实施；制定科技资金分配使用方案，对资金支出进 </w:t>
      </w:r>
    </w:p>
    <w:p w14:paraId="0FBD8A22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度、绩效、安全性和规范性等负责。 </w:t>
      </w:r>
    </w:p>
    <w:p w14:paraId="3E170FDF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（二十一）指导协调工业、信息化、科技领域的人才队伍建 </w:t>
      </w:r>
    </w:p>
    <w:p w14:paraId="4E77E170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设、对外交流与合作，会同有关部门提出相关政策建议，推进高 </w:t>
      </w:r>
    </w:p>
    <w:p w14:paraId="3ABE6BF1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层次科技人才队伍建设；组织科技工作者参与制订科技政策、规 </w:t>
      </w:r>
    </w:p>
    <w:p w14:paraId="6A651574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划。负责县政府委托管理的信息动员工作。 </w:t>
      </w:r>
    </w:p>
    <w:p w14:paraId="79519785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（二十二）拟订并组织开展科技宣传普及计划，提高全民科 </w:t>
      </w:r>
    </w:p>
    <w:p w14:paraId="7962E34A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学素质；开展科学论证、咨询服务，承担科技项目评估。 </w:t>
      </w:r>
    </w:p>
    <w:p w14:paraId="4B13644E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  （二十三）承办县委、县政府和上级工业和科学技术部门交 </w:t>
      </w:r>
    </w:p>
    <w:p w14:paraId="1CD0E65E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办的其他任务。 </w:t>
      </w:r>
    </w:p>
    <w:p w14:paraId="5A8E2F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eastAsia" w:ascii="仿宋_GB2312" w:hAnsi="仿宋_GB2312" w:cs="仿宋_GB2312"/>
          <w:bCs/>
          <w:szCs w:val="32"/>
          <w:lang w:bidi="ar"/>
        </w:rPr>
      </w:pPr>
      <w:r>
        <w:rPr>
          <w:rFonts w:hint="eastAsia" w:ascii="仿宋_GB2312" w:hAnsi="仿宋_GB2312" w:cs="仿宋_GB2312"/>
          <w:bCs/>
          <w:szCs w:val="32"/>
          <w:lang w:val="en-US" w:eastAsia="zh-CN" w:bidi="ar"/>
        </w:rPr>
        <w:t>2.</w:t>
      </w:r>
      <w:r>
        <w:rPr>
          <w:rFonts w:hint="eastAsia" w:ascii="仿宋_GB2312" w:hAnsi="仿宋_GB2312" w:cs="仿宋_GB2312"/>
          <w:bCs/>
          <w:szCs w:val="32"/>
          <w:lang w:bidi="ar"/>
        </w:rPr>
        <w:t>内设机构构成</w:t>
      </w:r>
    </w:p>
    <w:p w14:paraId="77D32C14">
      <w:pPr>
        <w:keepNext w:val="0"/>
        <w:keepLines w:val="0"/>
        <w:widowControl/>
        <w:suppressLineNumbers w:val="0"/>
        <w:ind w:firstLine="616" w:firstLineChars="20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本部门有内设机构及下属事业单位共10个，分别为：办公 </w:t>
      </w:r>
    </w:p>
    <w:p w14:paraId="12DF1606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室、科技服务股、民营经济促进股、工业园区股、生产服务业与 </w:t>
      </w:r>
    </w:p>
    <w:p w14:paraId="5EE0D006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消费品工业股（加挂无线电与信息产业股牌子）、运行监测与综 </w:t>
      </w:r>
    </w:p>
    <w:p w14:paraId="0D1E209C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 xml:space="preserve">合分析股、产业发展与技术改造创新股、科技规划与高新技术 </w:t>
      </w:r>
    </w:p>
    <w:p w14:paraId="15191B9B">
      <w:pPr>
        <w:keepNext w:val="0"/>
        <w:keepLines w:val="0"/>
        <w:widowControl/>
        <w:suppressLineNumbers w:val="0"/>
        <w:jc w:val="left"/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国标仿宋-GB/T 2312" w:hAnsi="国标仿宋-GB/T 2312" w:eastAsia="国标仿宋-GB/T 2312" w:cs="国标仿宋-GB/T 2312"/>
          <w:b w:val="0"/>
          <w:bCs w:val="0"/>
          <w:color w:val="auto"/>
          <w:kern w:val="0"/>
          <w:sz w:val="32"/>
          <w:szCs w:val="32"/>
          <w:highlight w:val="none"/>
          <w:u w:val="none" w:color="auto"/>
          <w:lang w:val="en-US" w:eastAsia="zh-CN" w:bidi="ar"/>
        </w:rPr>
        <w:t>股、中小企业服务中心和生产力促进中心。</w:t>
      </w:r>
    </w:p>
    <w:p w14:paraId="211AF3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eastAsia" w:ascii="仿宋_GB2312" w:hAnsi="仿宋_GB2312" w:cs="仿宋_GB2312"/>
          <w:bCs/>
          <w:szCs w:val="32"/>
          <w:highlight w:val="yellow"/>
          <w:lang w:bidi="ar"/>
        </w:rPr>
      </w:pPr>
      <w:r>
        <w:rPr>
          <w:rFonts w:hint="eastAsia" w:ascii="仿宋_GB2312" w:hAnsi="仿宋_GB2312" w:cs="仿宋_GB2312"/>
          <w:bCs/>
          <w:szCs w:val="32"/>
          <w:highlight w:val="none"/>
          <w:lang w:val="en-US" w:eastAsia="zh-CN" w:bidi="ar"/>
        </w:rPr>
        <w:t>3.</w:t>
      </w:r>
      <w:r>
        <w:rPr>
          <w:rFonts w:hint="eastAsia" w:ascii="仿宋_GB2312" w:hAnsi="仿宋_GB2312" w:cs="仿宋_GB2312"/>
          <w:bCs/>
          <w:szCs w:val="32"/>
          <w:highlight w:val="none"/>
          <w:lang w:bidi="ar"/>
        </w:rPr>
        <w:t>人员编制构成。</w:t>
      </w:r>
    </w:p>
    <w:p w14:paraId="5EB6A798">
      <w:pPr>
        <w:ind w:firstLine="616" w:firstLineChars="200"/>
        <w:rPr>
          <w:highlight w:val="none"/>
        </w:rPr>
      </w:pPr>
      <w:r>
        <w:rPr>
          <w:rFonts w:hint="eastAsia"/>
          <w:highlight w:val="none"/>
          <w:lang w:val="en-US" w:eastAsia="zh-CN"/>
        </w:rPr>
        <w:t>截止2025年12月31日，本单位人员编制29人，实有在职人员26人，政府聘员1人，退休人员25人。</w:t>
      </w:r>
    </w:p>
    <w:p w14:paraId="01F5E462">
      <w:pPr>
        <w:ind w:firstLine="616" w:firstLineChars="200"/>
        <w:rPr>
          <w:b/>
        </w:rPr>
      </w:pPr>
      <w:r>
        <w:rPr>
          <w:rFonts w:hint="eastAsia"/>
          <w:b/>
        </w:rPr>
        <w:t>（二）年度总体工作和重点工作任务</w:t>
      </w:r>
      <w:bookmarkEnd w:id="5"/>
      <w:bookmarkEnd w:id="6"/>
      <w:r>
        <w:rPr>
          <w:rFonts w:hint="eastAsia"/>
          <w:b/>
        </w:rPr>
        <w:t>。</w:t>
      </w:r>
    </w:p>
    <w:p w14:paraId="7B94D6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年，我局坚持以习近平新时代中国特色社会主义思想为指导，认真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贯彻落实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党的二十大和二十届历次全会以及 中央经济工作会议精神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深入贯彻落实习近平总书记对广东系列重要讲话和重要指示精神，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围绕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委工作安排，坚持制造业当家，聚焦工业经济运行、产业集群培育、园区提质增效、企业梯度发展、服务水平提升等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心任务，全力推动产业提质升级，工业高质量发展取得新成效。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主要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工作情况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如下：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</w:p>
    <w:p w14:paraId="0FC2E58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lef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拼经济稳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，制造业支撑作用凸显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面对复杂多变的经济形势，我们坚持“稳字当头、以质为先”，统筹推进稳产值、促投资双重任务。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精准发力稳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出台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工业稳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挂图作战清单，建立重点企业挂点帮扶机制，实行监测预警和月度调度分析制度，紧盯重点企业生产动态，召开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次生产经营座谈会，“一对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”解决企业实际困难，推动企业稳产增产，2025年，全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实现规上工业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产值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204.33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亿元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实现规上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工业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增加值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85.05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亿元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清单管理促投资。实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行工业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项目挂图作战清单制度，建立工业项目全生命周期管理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台账，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实行“周调度、月通报”，实时跟踪进度、及时解决堵点，推动工业投资逆势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增长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 2025年，完成工业投资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224.44亿元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，完成制造业投资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13.69亿元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，增速居全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，完成技改投资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18.38亿元，完成值居全市第1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加强产销对接。邀请全省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家重点企业赴我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参加重点产业链供需对接考察活动，组织企业参加广交会、中博会，助力企业拓市场、抢订单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广交会期间，帮助我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县企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业促成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订单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意向。</w:t>
      </w:r>
    </w:p>
    <w:p w14:paraId="77C80A2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lef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育集群强产业，现代化产业体系加快构建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聚焦现代化产业体系建设，推动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主导产业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壮大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传统产业升级、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未来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产业布局协同发力。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主导产业集群突破发展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。绿色能源与新型储能产业集群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提质增效，能源产业总装机容量730万千瓦，海上风电已实现530万千瓦并网，电厂二期7、8号机组项目加快建设。食品调味品产业集聚发展成效，创新“全产业链”模式推动食品工业高质量发展入选全省典型案例。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传统优势产业特色凸显。刀剪帽袋产业转型升级，支持刀剪帽袋产业加大设备更新和技改投入，推动传统产业高端化、智能化、绿色化转型，全年实现产值3.78亿元，同比增长19.78%。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未来产业布局扎实推进。加快牵头申报绿能产业园申报工作，加快布局氢能产业，布局绿色智算、低空经济、大健康等未来新赛道。</w:t>
      </w:r>
    </w:p>
    <w:p w14:paraId="1920BD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lef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优平台强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承载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园区发展能级显著提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升。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以园区标准化建设为抓手，深化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百千万工程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产业主引擎作用，提升产业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承载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能级。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园区格局优化升级。成功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协助市举办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全省产业园区产业链协同发展大会，完成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阳西产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业园区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国家开发区目录修订，将发展基础好、发展潜力突出区域纳入省产业园范围，整合形成总面积达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14245.35亩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平台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实现规上工业增加值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35.79亿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元，完成固定资产投资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191.73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亿元、同比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增长220.2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%;承接产业转移项目5个，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投资超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114亿元，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产业园区主导产业产值占比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84.9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%，着力打造“百千万工程”产业主引擎。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u w:val="none"/>
        </w:rPr>
        <w:t>二是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配套设施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加速完善。推进投资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亿元的园区基础设施项目建设。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综合效益持续向好。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阳西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产业园区获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2024年度省优秀等次，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获评“中国调味品产业五星园区”，并作为县级代表在全省产业链协同发展大会上交流经验，展示我县工业优势亮点，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平台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获良好等次，获省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2200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万元资本金支持。</w:t>
      </w:r>
    </w:p>
    <w:p w14:paraId="7F10EFD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lef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促创新强赋能，产业升级动能加速集聚。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以技术改造、数宇化转型为突破口，推动产业发展从要素驱动向创新驱动转变。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技改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升级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深入推进。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家企业开展技改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升级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，技改投资同比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增长127.1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高于全市60.2个百分点，为全市技改投资增速居全省第一位作出阳西贡献。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新建5G基站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193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座，数字基础设施支撑能力持续增强。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绿色发展水平持续提升。推动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家企业完成自愿性清洁生产创建，绿色低碳发展水平持续提升。</w:t>
      </w:r>
    </w:p>
    <w:p w14:paraId="184324F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lef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培育主体优服务，营商环境持续优化。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构建梯度培育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体系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，强化精准服务，市场主体活力不断激发。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优质中小企业培育成效显著。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新增国家高新技术企业8家，新增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专精特新企业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认定（复核）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家企业认定为创新型中小企业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。全年新增规上工业企业7家。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服务机制不断健全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。深化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领导挂点服务和网格化企业服务，组建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阳西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政企微信群，邀请重点企业负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责人入群、靠前服务，2025年收集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领导挂点企业诉求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89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项，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化解率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90%，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处理率100%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有效应对超强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台风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桦加沙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推动受灾企业获得保险理赔和政策扶持，迅速抢通信号“生命线”，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调集17支抢修队伍抢通“信号生命线”，保障救灾复产。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为救灾复产提供有力保障。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u w:val="none"/>
        </w:rPr>
        <w:t>三是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要素保障精准有力。扎实推进清理拖欠企业账款工作，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年度清偿化解5.12亿元，化解率109%，维护企业合法权益，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“6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30”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台账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清欠年度目标任务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；推动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家工业企业纳入省降低制造业成本政策支持范围政策红利精准滴灌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，向省、市工信部门争取企业奖补资金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1.04亿元。</w:t>
      </w:r>
    </w:p>
    <w:p w14:paraId="704023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Autospacing="0" w:afterAutospacing="0" w:line="540" w:lineRule="exact"/>
        <w:ind w:left="0" w:righ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强县域科技赋能，推进创新基地建设。一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年来，深化企业与高校科研团队的协同合作，与广东第二师范学院、珠海城市职业技术学院签订合作协议，牢牢聚焦5大建设任务，将其细化为21个具体项目，以项目为抓手精准发力，稳步推进创新基地的建设与发展。截至目前，创新基地形成20名以上专兼职服务专家团队，构建“项目+专家+企业”协同创新机制，指导阳西县企业制定标准化技术规程，联合食品企业申报阳江市科技局科技项目，助力刀剪帽袋传统产业智能改造，推动文旅融合和科技赋能旅游发展。儒洞镇、上洋镇获评省“百千万”专业镇。</w:t>
      </w:r>
    </w:p>
    <w:p w14:paraId="69CC826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ind w:left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守底线保安全，发展根基持续筑牢。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严格落实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三管三必须”要求，有效管控各类安全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风险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，确保工信领域安全稳定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行业安全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管理水平提升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健全完善安全生产制度，组织安全培训，开展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民爆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企业、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用船舶制造企业排查整治，指导企业完成整改，行业安全管理水平明显提高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对民爆、船舶等企业开展安全隐患排查工作，全年共检查30余次企业，出动检查人员90余人次。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u w:val="none"/>
        </w:rPr>
        <w:t>二是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无线电安全保障有力。加强依法行政，大力打击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理“黑广播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”“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>伪基站”，加大无线电干扰排查力度，切实保障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专用频率使用安全，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圆满完成全县高考、中考及有关活动的无线电安全保障工作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守好国家安全防线。聚焦工业生产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数据安全等方面，开展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隐患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排查、政策宣讲、企业督导工作，筑牢工业领域安全防线。 </w:t>
      </w:r>
    </w:p>
    <w:p w14:paraId="0EFCAECF">
      <w:pPr>
        <w:ind w:firstLine="616" w:firstLineChars="200"/>
        <w:rPr>
          <w:rFonts w:hint="eastAsia" w:ascii="仿宋_GB2312" w:hAnsi="仿宋_GB2312" w:cs="仿宋_GB2312"/>
          <w:bCs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强党建聚合力，整治保障更加坚实。</w:t>
      </w:r>
      <w:r>
        <w:rPr>
          <w:rFonts w:hint="eastAsia" w:ascii="仿宋_GB2312" w:hAnsi="仿宋_GB2312" w:eastAsia="仿宋_GB2312" w:cs="仿宋_GB2312"/>
          <w:color w:val="000000"/>
          <w:kern w:val="32"/>
          <w:sz w:val="32"/>
          <w:szCs w:val="32"/>
          <w:u w:val="none" w:color="auto"/>
          <w:lang w:val="en-US" w:eastAsia="zh-CN"/>
        </w:rPr>
        <w:t>坚持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以党建引领工信事业发展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推动党建与业务深度融合。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强化政治引领。深入学习贯彻习近平总书记视察广东和出席第十五届全国运动会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开幕式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重要讲话重要指示精神，深刻领悟“两个确立”的决定性意义，坚决做到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两个维护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认真学习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贯彻党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的二十届四中全会精神。第一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时间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进行传达学习，班子成员迅速走进企业、园区开展宣讲，推动全会精神入脑入心。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推动机关党建高质量发展。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建强党员队伍，彰显担当本色深化“工信党旗红，振兴当先锋”活力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，党员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部主动“沉下去”服务企业，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聚焦“百千万”工程、产业发展、营商环境等重点任务，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推动党的创新理论与工信业务深度融合。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我局作为全省唯一县级工信局获“广东省制造强省建设先进集体”荣誉。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四是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持之以恒推进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党风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廉政建设。扎实开展中央八项规定精神学习教育，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系统学习党章党规党纪，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作风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建设进一步强化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锲而不舍整治形式主义为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减负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，大力弘扬厉行节约、反对浪费的优良作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，抓好巡察、审计整改，严格教育干部严守纪律红线，持续营造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清气正的政治生态。</w:t>
      </w:r>
    </w:p>
    <w:p w14:paraId="21E0C4E3">
      <w:pPr>
        <w:ind w:firstLine="520"/>
        <w:rPr>
          <w:rFonts w:ascii="仿宋_GB2312" w:hAnsi="仿宋_GB2312" w:cs="仿宋_GB2312"/>
          <w:bCs/>
          <w:sz w:val="26"/>
          <w:szCs w:val="26"/>
        </w:rPr>
      </w:pPr>
      <w:bookmarkStart w:id="7" w:name="_Toc8086"/>
      <w:bookmarkStart w:id="8" w:name="_Toc28424_WPSOffice_Level2"/>
      <w:r>
        <w:rPr>
          <w:rFonts w:hint="eastAsia"/>
          <w:b/>
        </w:rPr>
        <w:t>（三）</w:t>
      </w:r>
      <w:bookmarkEnd w:id="7"/>
      <w:bookmarkEnd w:id="8"/>
      <w:r>
        <w:rPr>
          <w:rFonts w:hint="eastAsia"/>
          <w:b/>
        </w:rPr>
        <w:t>部门整体支出情况。</w:t>
      </w:r>
      <w:r>
        <w:rPr>
          <w:rFonts w:hint="eastAsia"/>
          <w:b/>
          <w:lang w:eastAsia="zh-CN"/>
        </w:rPr>
        <w:t>（以决算数为统计口径）</w:t>
      </w:r>
    </w:p>
    <w:p w14:paraId="0FCFFD53">
      <w:pPr>
        <w:ind w:firstLine="520"/>
        <w:rPr>
          <w:rFonts w:hint="eastAsia" w:ascii="仿宋_GB2312" w:hAnsi="仿宋_GB2312" w:cs="仿宋_GB2312"/>
          <w:bCs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bCs/>
          <w:szCs w:val="32"/>
          <w:lang w:val="en-US" w:eastAsia="zh-CN" w:bidi="ar"/>
        </w:rPr>
        <w:t>1.部门整体收入情况。</w:t>
      </w:r>
    </w:p>
    <w:p w14:paraId="43D7C940">
      <w:pPr>
        <w:ind w:firstLine="520"/>
        <w:rPr>
          <w:rFonts w:hint="eastAsia" w:ascii="仿宋_GB2312" w:hAnsi="仿宋_GB2312" w:cs="仿宋_GB2312"/>
          <w:bCs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bCs/>
          <w:szCs w:val="32"/>
          <w:lang w:val="en-US" w:eastAsia="zh-CN" w:bidi="ar"/>
        </w:rPr>
        <w:t>2025年，我局预算收入1066.1万元，调整预算数2231.26万元，决算数2231.26万元。其中，一般公共预算财政拨款收入2195.42 万元，政府性基金预算财政拨款收入35万元，其他收入0.84万元；决算数2231.26万元；年初结转和结余59.44万元，决算数59.44万元。</w:t>
      </w:r>
    </w:p>
    <w:p w14:paraId="5978855D">
      <w:pPr>
        <w:ind w:firstLine="520"/>
        <w:rPr>
          <w:rFonts w:hint="eastAsia" w:ascii="仿宋_GB2312" w:hAnsi="仿宋_GB2312" w:cs="仿宋_GB2312"/>
          <w:bCs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bCs/>
          <w:szCs w:val="32"/>
          <w:lang w:val="en-US" w:eastAsia="zh-CN" w:bidi="ar"/>
        </w:rPr>
        <w:t>2.部门整体支出情况。</w:t>
      </w:r>
    </w:p>
    <w:p w14:paraId="3127AD8D">
      <w:pPr>
        <w:ind w:firstLine="520"/>
        <w:rPr>
          <w:rFonts w:hint="eastAsia" w:ascii="仿宋_GB2312" w:hAnsi="仿宋_GB2312" w:cs="仿宋_GB2312"/>
          <w:bCs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bCs/>
          <w:szCs w:val="32"/>
          <w:lang w:val="en-US" w:eastAsia="zh-CN" w:bidi="ar"/>
        </w:rPr>
        <w:t>2025年，我局预算支出1066.1万元，决算支出2283.62万元（其中，基本支出650.76万元，项目支出1632.86万元，年末结转和结余7.08万元），详见下表。</w:t>
      </w:r>
    </w:p>
    <w:p w14:paraId="75BD1AA2">
      <w:pPr>
        <w:ind w:firstLine="520"/>
        <w:jc w:val="center"/>
        <w:rPr>
          <w:rFonts w:hint="eastAsia" w:ascii="仿宋_GB2312" w:hAnsi="仿宋_GB2312" w:cs="仿宋_GB2312"/>
          <w:bCs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bCs/>
          <w:szCs w:val="32"/>
          <w:lang w:val="en-US" w:eastAsia="zh-CN" w:bidi="ar"/>
        </w:rPr>
        <w:t>2025年部门整体支出（单位：万元）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2029"/>
        <w:gridCol w:w="1826"/>
        <w:gridCol w:w="1694"/>
      </w:tblGrid>
      <w:tr w14:paraId="5F4E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284" w:type="dxa"/>
          </w:tcPr>
          <w:p w14:paraId="50A9A355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项目（按支出性质和经济分类）</w:t>
            </w:r>
          </w:p>
        </w:tc>
        <w:tc>
          <w:tcPr>
            <w:tcW w:w="2029" w:type="dxa"/>
          </w:tcPr>
          <w:p w14:paraId="44CE4AB1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年初预算数</w:t>
            </w:r>
          </w:p>
        </w:tc>
        <w:tc>
          <w:tcPr>
            <w:tcW w:w="1826" w:type="dxa"/>
          </w:tcPr>
          <w:p w14:paraId="7C35D797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调整预算数</w:t>
            </w:r>
          </w:p>
        </w:tc>
        <w:tc>
          <w:tcPr>
            <w:tcW w:w="1694" w:type="dxa"/>
          </w:tcPr>
          <w:p w14:paraId="31B4AE55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决算数</w:t>
            </w:r>
          </w:p>
        </w:tc>
      </w:tr>
      <w:tr w14:paraId="7D965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0FAA4690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一、基本支出</w:t>
            </w:r>
          </w:p>
        </w:tc>
        <w:tc>
          <w:tcPr>
            <w:tcW w:w="2029" w:type="dxa"/>
          </w:tcPr>
          <w:p w14:paraId="15BBB986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623.47</w:t>
            </w:r>
          </w:p>
        </w:tc>
        <w:tc>
          <w:tcPr>
            <w:tcW w:w="1826" w:type="dxa"/>
          </w:tcPr>
          <w:p w14:paraId="07D1C508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650.76</w:t>
            </w:r>
          </w:p>
        </w:tc>
        <w:tc>
          <w:tcPr>
            <w:tcW w:w="1694" w:type="dxa"/>
          </w:tcPr>
          <w:p w14:paraId="3AEFB364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650.76</w:t>
            </w:r>
          </w:p>
        </w:tc>
      </w:tr>
      <w:tr w14:paraId="4FCEA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59BACB43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人员经费</w:t>
            </w:r>
          </w:p>
        </w:tc>
        <w:tc>
          <w:tcPr>
            <w:tcW w:w="2029" w:type="dxa"/>
          </w:tcPr>
          <w:p w14:paraId="4AD013B4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602.27</w:t>
            </w:r>
          </w:p>
        </w:tc>
        <w:tc>
          <w:tcPr>
            <w:tcW w:w="1826" w:type="dxa"/>
          </w:tcPr>
          <w:p w14:paraId="28A867D1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620.08</w:t>
            </w:r>
          </w:p>
        </w:tc>
        <w:tc>
          <w:tcPr>
            <w:tcW w:w="1694" w:type="dxa"/>
          </w:tcPr>
          <w:p w14:paraId="0F3A1B40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620.08</w:t>
            </w:r>
          </w:p>
        </w:tc>
      </w:tr>
      <w:tr w14:paraId="5B4BD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46703B80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公用经费</w:t>
            </w:r>
          </w:p>
        </w:tc>
        <w:tc>
          <w:tcPr>
            <w:tcW w:w="2029" w:type="dxa"/>
          </w:tcPr>
          <w:p w14:paraId="3923E5F2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21.20</w:t>
            </w:r>
          </w:p>
        </w:tc>
        <w:tc>
          <w:tcPr>
            <w:tcW w:w="1826" w:type="dxa"/>
          </w:tcPr>
          <w:p w14:paraId="65ABE77D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30.68</w:t>
            </w:r>
          </w:p>
        </w:tc>
        <w:tc>
          <w:tcPr>
            <w:tcW w:w="1694" w:type="dxa"/>
          </w:tcPr>
          <w:p w14:paraId="27740549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30.68</w:t>
            </w:r>
          </w:p>
        </w:tc>
      </w:tr>
      <w:tr w14:paraId="23BE9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56EBADC8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二、项目支出</w:t>
            </w:r>
          </w:p>
        </w:tc>
        <w:tc>
          <w:tcPr>
            <w:tcW w:w="2029" w:type="dxa"/>
          </w:tcPr>
          <w:p w14:paraId="2EC5D31A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442.63</w:t>
            </w:r>
          </w:p>
        </w:tc>
        <w:tc>
          <w:tcPr>
            <w:tcW w:w="1826" w:type="dxa"/>
          </w:tcPr>
          <w:p w14:paraId="2FD2EA28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1632.86</w:t>
            </w:r>
          </w:p>
        </w:tc>
        <w:tc>
          <w:tcPr>
            <w:tcW w:w="1694" w:type="dxa"/>
          </w:tcPr>
          <w:p w14:paraId="690DF4C2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1632.86</w:t>
            </w:r>
          </w:p>
        </w:tc>
      </w:tr>
      <w:tr w14:paraId="4ED3E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055E1BC4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其中：基本建设类项目</w:t>
            </w:r>
          </w:p>
        </w:tc>
        <w:tc>
          <w:tcPr>
            <w:tcW w:w="2029" w:type="dxa"/>
          </w:tcPr>
          <w:p w14:paraId="44B32080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26" w:type="dxa"/>
          </w:tcPr>
          <w:p w14:paraId="0CF01739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94" w:type="dxa"/>
          </w:tcPr>
          <w:p w14:paraId="40AFAE43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02776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176CAF6F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三、上缴上级支出</w:t>
            </w:r>
          </w:p>
        </w:tc>
        <w:tc>
          <w:tcPr>
            <w:tcW w:w="2029" w:type="dxa"/>
          </w:tcPr>
          <w:p w14:paraId="08E35C91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26" w:type="dxa"/>
          </w:tcPr>
          <w:p w14:paraId="44EBCAFD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94" w:type="dxa"/>
          </w:tcPr>
          <w:p w14:paraId="2AE1CF5B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7AA42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7D907523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四、经营支出</w:t>
            </w:r>
          </w:p>
        </w:tc>
        <w:tc>
          <w:tcPr>
            <w:tcW w:w="2029" w:type="dxa"/>
          </w:tcPr>
          <w:p w14:paraId="756B8E64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26" w:type="dxa"/>
          </w:tcPr>
          <w:p w14:paraId="11493D34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94" w:type="dxa"/>
          </w:tcPr>
          <w:p w14:paraId="47431D35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78105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6CF44FCC">
            <w:pP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五、对附属单位补助支出</w:t>
            </w:r>
          </w:p>
        </w:tc>
        <w:tc>
          <w:tcPr>
            <w:tcW w:w="2029" w:type="dxa"/>
          </w:tcPr>
          <w:p w14:paraId="0762F610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26" w:type="dxa"/>
          </w:tcPr>
          <w:p w14:paraId="3B8547AE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94" w:type="dxa"/>
          </w:tcPr>
          <w:p w14:paraId="57F5431A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08E9B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7D0ECD00">
            <w:pP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/>
                <w:bCs w:val="0"/>
                <w:sz w:val="24"/>
                <w:szCs w:val="24"/>
                <w:vertAlign w:val="baseline"/>
                <w:lang w:val="en-US" w:eastAsia="zh-CN" w:bidi="ar"/>
              </w:rPr>
              <w:t>经济分类支出合计</w:t>
            </w:r>
          </w:p>
        </w:tc>
        <w:tc>
          <w:tcPr>
            <w:tcW w:w="2029" w:type="dxa"/>
          </w:tcPr>
          <w:p w14:paraId="32DD13B2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26" w:type="dxa"/>
          </w:tcPr>
          <w:p w14:paraId="3B63BA1B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94" w:type="dxa"/>
          </w:tcPr>
          <w:p w14:paraId="35E9EB3C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2283.62</w:t>
            </w:r>
          </w:p>
        </w:tc>
      </w:tr>
      <w:tr w14:paraId="1A4F8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2A71064B">
            <w:pP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一、工资福利支出</w:t>
            </w:r>
          </w:p>
        </w:tc>
        <w:tc>
          <w:tcPr>
            <w:tcW w:w="2029" w:type="dxa"/>
          </w:tcPr>
          <w:p w14:paraId="461BC7D3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26" w:type="dxa"/>
          </w:tcPr>
          <w:p w14:paraId="5BAD8E61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94" w:type="dxa"/>
          </w:tcPr>
          <w:p w14:paraId="68349BBC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530.66</w:t>
            </w:r>
          </w:p>
        </w:tc>
      </w:tr>
      <w:tr w14:paraId="4C5FD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7046EFBE">
            <w:pP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二、商品和服务支出</w:t>
            </w:r>
          </w:p>
        </w:tc>
        <w:tc>
          <w:tcPr>
            <w:tcW w:w="2029" w:type="dxa"/>
          </w:tcPr>
          <w:p w14:paraId="493FBA7F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26" w:type="dxa"/>
          </w:tcPr>
          <w:p w14:paraId="6D18FC2A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94" w:type="dxa"/>
          </w:tcPr>
          <w:p w14:paraId="54071C44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207.46</w:t>
            </w:r>
          </w:p>
        </w:tc>
      </w:tr>
      <w:tr w14:paraId="0648D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2F55DD40">
            <w:pP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三、对个人和家庭的补助</w:t>
            </w:r>
          </w:p>
        </w:tc>
        <w:tc>
          <w:tcPr>
            <w:tcW w:w="2029" w:type="dxa"/>
          </w:tcPr>
          <w:p w14:paraId="1A452249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26" w:type="dxa"/>
          </w:tcPr>
          <w:p w14:paraId="55876965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94" w:type="dxa"/>
          </w:tcPr>
          <w:p w14:paraId="78D3F95D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89.42</w:t>
            </w:r>
          </w:p>
        </w:tc>
      </w:tr>
      <w:tr w14:paraId="6CED4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16EDA100">
            <w:pP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四、债务利息及费用支出</w:t>
            </w:r>
          </w:p>
        </w:tc>
        <w:tc>
          <w:tcPr>
            <w:tcW w:w="2029" w:type="dxa"/>
          </w:tcPr>
          <w:p w14:paraId="1DF8A88C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26" w:type="dxa"/>
          </w:tcPr>
          <w:p w14:paraId="2DF24D05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94" w:type="dxa"/>
          </w:tcPr>
          <w:p w14:paraId="6B25455F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36D7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12DAFAEC">
            <w:pP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五、资本性支出（基本建设）</w:t>
            </w:r>
          </w:p>
        </w:tc>
        <w:tc>
          <w:tcPr>
            <w:tcW w:w="2029" w:type="dxa"/>
          </w:tcPr>
          <w:p w14:paraId="346B3BEE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26" w:type="dxa"/>
          </w:tcPr>
          <w:p w14:paraId="4E18BCC2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94" w:type="dxa"/>
          </w:tcPr>
          <w:p w14:paraId="7E9F2400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3B608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4B94AAD3">
            <w:pP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六、资本性支出</w:t>
            </w:r>
          </w:p>
        </w:tc>
        <w:tc>
          <w:tcPr>
            <w:tcW w:w="2029" w:type="dxa"/>
          </w:tcPr>
          <w:p w14:paraId="07EAC4A0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26" w:type="dxa"/>
          </w:tcPr>
          <w:p w14:paraId="1D35F6EA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94" w:type="dxa"/>
          </w:tcPr>
          <w:p w14:paraId="45AFE92A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7.78</w:t>
            </w:r>
          </w:p>
        </w:tc>
      </w:tr>
      <w:tr w14:paraId="618C8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65E7D27A">
            <w:pP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七、对企业补助（基本建设）</w:t>
            </w:r>
          </w:p>
        </w:tc>
        <w:tc>
          <w:tcPr>
            <w:tcW w:w="2029" w:type="dxa"/>
          </w:tcPr>
          <w:p w14:paraId="47D4D828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26" w:type="dxa"/>
          </w:tcPr>
          <w:p w14:paraId="703CDE73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94" w:type="dxa"/>
          </w:tcPr>
          <w:p w14:paraId="163929B5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55FD8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79426220">
            <w:pP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八、对企业补助</w:t>
            </w:r>
          </w:p>
        </w:tc>
        <w:tc>
          <w:tcPr>
            <w:tcW w:w="2029" w:type="dxa"/>
          </w:tcPr>
          <w:p w14:paraId="149A0A8B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26" w:type="dxa"/>
          </w:tcPr>
          <w:p w14:paraId="517093D6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94" w:type="dxa"/>
          </w:tcPr>
          <w:p w14:paraId="0EB4AEA8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1448.31</w:t>
            </w:r>
          </w:p>
        </w:tc>
      </w:tr>
      <w:tr w14:paraId="7E7D4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274BE7D4">
            <w:pP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九、对社会保障基金补助</w:t>
            </w:r>
          </w:p>
        </w:tc>
        <w:tc>
          <w:tcPr>
            <w:tcW w:w="2029" w:type="dxa"/>
          </w:tcPr>
          <w:p w14:paraId="2679746E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26" w:type="dxa"/>
          </w:tcPr>
          <w:p w14:paraId="714CD44B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94" w:type="dxa"/>
          </w:tcPr>
          <w:p w14:paraId="7EF6503B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48AF3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73A73DCE">
            <w:pP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十、其他支出</w:t>
            </w:r>
          </w:p>
        </w:tc>
        <w:tc>
          <w:tcPr>
            <w:tcW w:w="2029" w:type="dxa"/>
          </w:tcPr>
          <w:p w14:paraId="63641176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26" w:type="dxa"/>
          </w:tcPr>
          <w:p w14:paraId="1E01322E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694" w:type="dxa"/>
          </w:tcPr>
          <w:p w14:paraId="2929D480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  <w:tr w14:paraId="136D1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4FE40882">
            <w:pP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本年支出合计</w:t>
            </w:r>
          </w:p>
        </w:tc>
        <w:tc>
          <w:tcPr>
            <w:tcW w:w="2029" w:type="dxa"/>
          </w:tcPr>
          <w:p w14:paraId="3AF5F1B3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1066.10</w:t>
            </w:r>
          </w:p>
        </w:tc>
        <w:tc>
          <w:tcPr>
            <w:tcW w:w="1826" w:type="dxa"/>
          </w:tcPr>
          <w:p w14:paraId="72DF3674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2283.62</w:t>
            </w:r>
          </w:p>
        </w:tc>
        <w:tc>
          <w:tcPr>
            <w:tcW w:w="1694" w:type="dxa"/>
            <w:vAlign w:val="top"/>
          </w:tcPr>
          <w:p w14:paraId="3F28170A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2283.62</w:t>
            </w:r>
          </w:p>
        </w:tc>
      </w:tr>
      <w:tr w14:paraId="67B87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185353D5">
            <w:pP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年末结转和结余</w:t>
            </w:r>
          </w:p>
        </w:tc>
        <w:tc>
          <w:tcPr>
            <w:tcW w:w="2029" w:type="dxa"/>
          </w:tcPr>
          <w:p w14:paraId="3D947A63">
            <w:pP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26" w:type="dxa"/>
          </w:tcPr>
          <w:p w14:paraId="66658580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7.08</w:t>
            </w:r>
          </w:p>
        </w:tc>
        <w:tc>
          <w:tcPr>
            <w:tcW w:w="1694" w:type="dxa"/>
            <w:vAlign w:val="top"/>
          </w:tcPr>
          <w:p w14:paraId="0F913817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7.08</w:t>
            </w:r>
          </w:p>
        </w:tc>
      </w:tr>
      <w:tr w14:paraId="531FB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</w:tcPr>
          <w:p w14:paraId="40E6F5B2">
            <w:pP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总计</w:t>
            </w:r>
          </w:p>
        </w:tc>
        <w:tc>
          <w:tcPr>
            <w:tcW w:w="2029" w:type="dxa"/>
          </w:tcPr>
          <w:p w14:paraId="535898E1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1066.10</w:t>
            </w:r>
          </w:p>
        </w:tc>
        <w:tc>
          <w:tcPr>
            <w:tcW w:w="1826" w:type="dxa"/>
          </w:tcPr>
          <w:p w14:paraId="4921AA34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2290.70</w:t>
            </w:r>
          </w:p>
        </w:tc>
        <w:tc>
          <w:tcPr>
            <w:tcW w:w="1694" w:type="dxa"/>
            <w:vAlign w:val="top"/>
          </w:tcPr>
          <w:p w14:paraId="258C79B8">
            <w:pPr>
              <w:rPr>
                <w:rFonts w:hint="default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Cs/>
                <w:sz w:val="21"/>
                <w:szCs w:val="21"/>
                <w:vertAlign w:val="baseline"/>
                <w:lang w:val="en-US" w:eastAsia="zh-CN" w:bidi="ar"/>
              </w:rPr>
              <w:t>2290.70</w:t>
            </w:r>
          </w:p>
        </w:tc>
      </w:tr>
    </w:tbl>
    <w:p w14:paraId="41E944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eastAsia" w:ascii="仿宋_GB2312" w:hAnsi="仿宋_GB2312" w:cs="仿宋_GB2312"/>
          <w:bCs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bCs/>
          <w:szCs w:val="32"/>
          <w:lang w:val="en-US" w:eastAsia="zh-CN" w:bidi="ar"/>
        </w:rPr>
        <w:t>3.三公经费经费支出</w:t>
      </w:r>
    </w:p>
    <w:p w14:paraId="417267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ascii="仿宋_GB2312" w:hAnsi="仿宋_GB2312" w:cs="仿宋_GB2312"/>
          <w:bCs/>
          <w:szCs w:val="32"/>
          <w:lang w:bidi="ar"/>
        </w:rPr>
      </w:pPr>
      <w:r>
        <w:rPr>
          <w:rFonts w:hint="eastAsia" w:ascii="仿宋_GB2312" w:hAnsi="仿宋_GB2312" w:cs="仿宋_GB2312"/>
          <w:bCs/>
          <w:szCs w:val="32"/>
          <w:lang w:val="en-US" w:eastAsia="zh-CN" w:bidi="ar"/>
        </w:rPr>
        <w:t>2025年三公经费决算合计支出3.32万元，较2023年增加了22.08万元，较年初预算减少17.58万元。</w:t>
      </w:r>
    </w:p>
    <w:p w14:paraId="1FA2B399">
      <w:pPr>
        <w:ind w:firstLine="520"/>
        <w:rPr>
          <w:b/>
        </w:rPr>
      </w:pPr>
      <w:r>
        <w:rPr>
          <w:rFonts w:hint="eastAsia"/>
          <w:b/>
        </w:rPr>
        <w:t>（四）部门整体支出绩效目标。</w:t>
      </w:r>
    </w:p>
    <w:p w14:paraId="2198109F">
      <w:pPr>
        <w:spacing w:line="600" w:lineRule="exact"/>
        <w:ind w:firstLine="616" w:firstLineChars="200"/>
        <w:rPr>
          <w:rFonts w:hint="eastAsia" w:ascii="仿宋_GB2312" w:hAnsi="华文仿宋" w:cs="仿宋_GB2312"/>
          <w:szCs w:val="32"/>
          <w:lang w:val="en-US" w:eastAsia="zh-CN"/>
        </w:rPr>
      </w:pPr>
      <w:r>
        <w:rPr>
          <w:rFonts w:hint="eastAsia" w:ascii="仿宋_GB2312" w:hAnsi="华文仿宋" w:cs="仿宋_GB2312"/>
          <w:szCs w:val="32"/>
          <w:lang w:val="en-US" w:eastAsia="zh-CN"/>
        </w:rPr>
        <w:t>2025年部门整体支出以体现部门主要职能、保障机构正常运行、围绕本年度各项重点任务工作，突出履职效果带来的经济社会效益为前提，提炼2025年部门整体支出绩效目标，见下表所示。</w:t>
      </w:r>
    </w:p>
    <w:p w14:paraId="6E82BBC1">
      <w:pPr>
        <w:spacing w:line="600" w:lineRule="exact"/>
        <w:ind w:firstLine="1848" w:firstLineChars="600"/>
        <w:rPr>
          <w:rFonts w:hint="default" w:ascii="仿宋_GB2312" w:hAnsi="华文仿宋" w:eastAsia="仿宋_GB2312" w:cs="仿宋_GB2312"/>
          <w:szCs w:val="32"/>
          <w:lang w:val="en-US" w:eastAsia="zh-CN"/>
        </w:rPr>
      </w:pPr>
      <w:r>
        <w:rPr>
          <w:rFonts w:hint="eastAsia" w:ascii="仿宋_GB2312" w:hAnsi="华文仿宋" w:cs="仿宋_GB2312"/>
          <w:szCs w:val="32"/>
          <w:lang w:val="en-US" w:eastAsia="zh-CN"/>
        </w:rPr>
        <w:t>2025年部门整体支出绩效目标表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4985"/>
        <w:gridCol w:w="2945"/>
      </w:tblGrid>
      <w:tr w14:paraId="03151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</w:tcPr>
          <w:p w14:paraId="141C468A">
            <w:pPr>
              <w:spacing w:line="600" w:lineRule="exact"/>
              <w:jc w:val="center"/>
              <w:rPr>
                <w:rFonts w:hint="eastAsia" w:ascii="仿宋_GB2312" w:hAnsi="华文仿宋" w:eastAsia="仿宋_GB2312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985" w:type="dxa"/>
          </w:tcPr>
          <w:p w14:paraId="55224220">
            <w:pPr>
              <w:spacing w:line="600" w:lineRule="exact"/>
              <w:jc w:val="center"/>
              <w:rPr>
                <w:rFonts w:hint="default" w:ascii="仿宋_GB2312" w:hAnsi="华文仿宋" w:eastAsia="仿宋_GB2312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eastAsia="zh-CN"/>
              </w:rPr>
              <w:t>绩效目标</w:t>
            </w: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2945" w:type="dxa"/>
          </w:tcPr>
          <w:p w14:paraId="27C90B21">
            <w:pPr>
              <w:spacing w:line="600" w:lineRule="exact"/>
              <w:jc w:val="center"/>
              <w:rPr>
                <w:rFonts w:hint="eastAsia" w:ascii="仿宋_GB2312" w:hAnsi="华文仿宋" w:eastAsia="仿宋_GB2312" w:cs="仿宋_GB231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eastAsia="zh-CN"/>
              </w:rPr>
              <w:t>目标值</w:t>
            </w:r>
          </w:p>
        </w:tc>
      </w:tr>
      <w:tr w14:paraId="1BEC0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</w:tcPr>
          <w:p w14:paraId="66F43DED">
            <w:pPr>
              <w:spacing w:line="600" w:lineRule="exact"/>
              <w:jc w:val="center"/>
              <w:rPr>
                <w:rFonts w:hint="eastAsia" w:ascii="仿宋_GB2312" w:hAnsi="华文仿宋" w:eastAsia="仿宋_GB2312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985" w:type="dxa"/>
            <w:vAlign w:val="top"/>
          </w:tcPr>
          <w:p w14:paraId="616ECE51">
            <w:pPr>
              <w:spacing w:line="600" w:lineRule="exact"/>
              <w:jc w:val="left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开展技术改造企业数（家）</w:t>
            </w:r>
          </w:p>
        </w:tc>
        <w:tc>
          <w:tcPr>
            <w:tcW w:w="2945" w:type="dxa"/>
            <w:vAlign w:val="top"/>
          </w:tcPr>
          <w:p w14:paraId="3A2104E5">
            <w:pPr>
              <w:spacing w:line="600" w:lineRule="exact"/>
              <w:jc w:val="center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25</w:t>
            </w:r>
          </w:p>
        </w:tc>
      </w:tr>
      <w:tr w14:paraId="73551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</w:tcPr>
          <w:p w14:paraId="05171280">
            <w:pPr>
              <w:spacing w:line="600" w:lineRule="exact"/>
              <w:jc w:val="center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985" w:type="dxa"/>
            <w:vAlign w:val="top"/>
          </w:tcPr>
          <w:p w14:paraId="6149744F">
            <w:pPr>
              <w:spacing w:line="600" w:lineRule="exact"/>
              <w:jc w:val="left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规上工业增加值增速（%）</w:t>
            </w:r>
          </w:p>
        </w:tc>
        <w:tc>
          <w:tcPr>
            <w:tcW w:w="2945" w:type="dxa"/>
            <w:vAlign w:val="top"/>
          </w:tcPr>
          <w:p w14:paraId="1EB66A4B">
            <w:pPr>
              <w:spacing w:line="600" w:lineRule="exact"/>
              <w:jc w:val="center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6</w:t>
            </w:r>
          </w:p>
        </w:tc>
      </w:tr>
      <w:tr w14:paraId="4915A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</w:tcPr>
          <w:p w14:paraId="7CC15F8A">
            <w:pPr>
              <w:spacing w:line="600" w:lineRule="exact"/>
              <w:jc w:val="center"/>
              <w:rPr>
                <w:rFonts w:hint="eastAsia" w:ascii="仿宋_GB2312" w:hAnsi="华文仿宋" w:eastAsia="仿宋_GB2312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985" w:type="dxa"/>
            <w:vAlign w:val="top"/>
          </w:tcPr>
          <w:p w14:paraId="32F2061D">
            <w:pPr>
              <w:spacing w:line="600" w:lineRule="exact"/>
              <w:jc w:val="left"/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园区扩园提质增效</w:t>
            </w:r>
          </w:p>
        </w:tc>
        <w:tc>
          <w:tcPr>
            <w:tcW w:w="2945" w:type="dxa"/>
            <w:vAlign w:val="top"/>
          </w:tcPr>
          <w:p w14:paraId="1B7325D2">
            <w:pPr>
              <w:spacing w:line="600" w:lineRule="exact"/>
              <w:jc w:val="center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通过园区考核</w:t>
            </w:r>
          </w:p>
        </w:tc>
      </w:tr>
      <w:tr w14:paraId="050CB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</w:tcPr>
          <w:p w14:paraId="5683A337">
            <w:pPr>
              <w:spacing w:line="600" w:lineRule="exact"/>
              <w:jc w:val="center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985" w:type="dxa"/>
            <w:vAlign w:val="top"/>
          </w:tcPr>
          <w:p w14:paraId="2A4A53FA">
            <w:pPr>
              <w:spacing w:line="600" w:lineRule="exact"/>
              <w:jc w:val="left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“小升规”企业数（家）</w:t>
            </w:r>
          </w:p>
        </w:tc>
        <w:tc>
          <w:tcPr>
            <w:tcW w:w="2945" w:type="dxa"/>
            <w:vAlign w:val="top"/>
          </w:tcPr>
          <w:p w14:paraId="62CE99BA">
            <w:pPr>
              <w:spacing w:line="600" w:lineRule="exact"/>
              <w:jc w:val="center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5</w:t>
            </w:r>
          </w:p>
        </w:tc>
      </w:tr>
      <w:tr w14:paraId="52C68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</w:tcPr>
          <w:p w14:paraId="51F732B9">
            <w:pPr>
              <w:spacing w:line="600" w:lineRule="exact"/>
              <w:jc w:val="center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985" w:type="dxa"/>
            <w:vAlign w:val="top"/>
          </w:tcPr>
          <w:p w14:paraId="74DBA6F2">
            <w:pPr>
              <w:spacing w:line="600" w:lineRule="exact"/>
              <w:jc w:val="left"/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高新技术企业数量</w:t>
            </w:r>
          </w:p>
        </w:tc>
        <w:tc>
          <w:tcPr>
            <w:tcW w:w="2945" w:type="dxa"/>
            <w:vAlign w:val="top"/>
          </w:tcPr>
          <w:p w14:paraId="754D6586">
            <w:pPr>
              <w:spacing w:line="600" w:lineRule="exact"/>
              <w:jc w:val="center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6家</w:t>
            </w:r>
          </w:p>
        </w:tc>
      </w:tr>
      <w:tr w14:paraId="52E94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3" w:type="dxa"/>
            <w:vAlign w:val="top"/>
          </w:tcPr>
          <w:p w14:paraId="39C80134">
            <w:pPr>
              <w:spacing w:line="600" w:lineRule="exact"/>
              <w:jc w:val="center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4985" w:type="dxa"/>
            <w:shd w:val="clear" w:color="auto" w:fill="auto"/>
            <w:vAlign w:val="top"/>
          </w:tcPr>
          <w:p w14:paraId="57CB88CE">
            <w:pPr>
              <w:spacing w:line="600" w:lineRule="exact"/>
              <w:jc w:val="left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新增专精特新中小企业认定（复核）</w:t>
            </w:r>
          </w:p>
        </w:tc>
        <w:tc>
          <w:tcPr>
            <w:tcW w:w="2945" w:type="dxa"/>
            <w:shd w:val="clear" w:color="auto" w:fill="auto"/>
            <w:vAlign w:val="top"/>
          </w:tcPr>
          <w:p w14:paraId="4471AFCF">
            <w:pPr>
              <w:spacing w:line="600" w:lineRule="exact"/>
              <w:jc w:val="center"/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3家</w:t>
            </w:r>
          </w:p>
        </w:tc>
      </w:tr>
      <w:tr w14:paraId="60C51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  <w:vAlign w:val="top"/>
          </w:tcPr>
          <w:p w14:paraId="70C5DFC1">
            <w:pPr>
              <w:spacing w:line="600" w:lineRule="exact"/>
              <w:jc w:val="center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4985" w:type="dxa"/>
            <w:shd w:val="clear" w:color="auto" w:fill="auto"/>
            <w:vAlign w:val="top"/>
          </w:tcPr>
          <w:p w14:paraId="4206DE0B">
            <w:pPr>
              <w:spacing w:line="600" w:lineRule="exact"/>
              <w:jc w:val="left"/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省级创新型中小企业荣誉资质</w:t>
            </w:r>
          </w:p>
        </w:tc>
        <w:tc>
          <w:tcPr>
            <w:tcW w:w="2945" w:type="dxa"/>
            <w:shd w:val="clear" w:color="auto" w:fill="auto"/>
            <w:vAlign w:val="top"/>
          </w:tcPr>
          <w:p w14:paraId="488589B1">
            <w:pPr>
              <w:spacing w:line="600" w:lineRule="exact"/>
              <w:jc w:val="center"/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5家</w:t>
            </w:r>
          </w:p>
        </w:tc>
      </w:tr>
      <w:tr w14:paraId="1A9E9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  <w:vAlign w:val="top"/>
          </w:tcPr>
          <w:p w14:paraId="5E83D401">
            <w:pPr>
              <w:spacing w:line="600" w:lineRule="exact"/>
              <w:jc w:val="center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4985" w:type="dxa"/>
            <w:shd w:val="clear" w:color="auto" w:fill="auto"/>
            <w:vAlign w:val="top"/>
          </w:tcPr>
          <w:p w14:paraId="37A7A133">
            <w:pPr>
              <w:spacing w:line="600" w:lineRule="exact"/>
              <w:jc w:val="left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工业投资增速（%）</w:t>
            </w:r>
          </w:p>
        </w:tc>
        <w:tc>
          <w:tcPr>
            <w:tcW w:w="2945" w:type="dxa"/>
            <w:shd w:val="clear" w:color="auto" w:fill="auto"/>
            <w:vAlign w:val="top"/>
          </w:tcPr>
          <w:p w14:paraId="7690431C">
            <w:pPr>
              <w:spacing w:line="600" w:lineRule="exact"/>
              <w:jc w:val="center"/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5</w:t>
            </w:r>
          </w:p>
        </w:tc>
      </w:tr>
      <w:tr w14:paraId="343AD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  <w:vAlign w:val="top"/>
          </w:tcPr>
          <w:p w14:paraId="1FA07690">
            <w:pPr>
              <w:spacing w:line="600" w:lineRule="exact"/>
              <w:jc w:val="center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4985" w:type="dxa"/>
            <w:shd w:val="clear" w:color="auto" w:fill="auto"/>
            <w:vAlign w:val="top"/>
          </w:tcPr>
          <w:p w14:paraId="76E1B98A">
            <w:pPr>
              <w:spacing w:line="600" w:lineRule="exact"/>
              <w:jc w:val="left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制作业投资增速（%）</w:t>
            </w:r>
          </w:p>
        </w:tc>
        <w:tc>
          <w:tcPr>
            <w:tcW w:w="2945" w:type="dxa"/>
            <w:shd w:val="clear" w:color="auto" w:fill="auto"/>
            <w:vAlign w:val="top"/>
          </w:tcPr>
          <w:p w14:paraId="1BFAD583">
            <w:pPr>
              <w:spacing w:line="600" w:lineRule="exact"/>
              <w:jc w:val="center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10</w:t>
            </w:r>
          </w:p>
        </w:tc>
      </w:tr>
      <w:tr w14:paraId="79326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  <w:vAlign w:val="top"/>
          </w:tcPr>
          <w:p w14:paraId="6EE86702">
            <w:pPr>
              <w:spacing w:line="600" w:lineRule="exact"/>
              <w:jc w:val="center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4985" w:type="dxa"/>
            <w:shd w:val="clear" w:color="auto" w:fill="auto"/>
            <w:vAlign w:val="top"/>
          </w:tcPr>
          <w:p w14:paraId="18DE89EF">
            <w:pPr>
              <w:spacing w:line="600" w:lineRule="exact"/>
              <w:jc w:val="left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工业技改投资增速（%）</w:t>
            </w:r>
          </w:p>
        </w:tc>
        <w:tc>
          <w:tcPr>
            <w:tcW w:w="2945" w:type="dxa"/>
            <w:shd w:val="clear" w:color="auto" w:fill="auto"/>
            <w:vAlign w:val="top"/>
          </w:tcPr>
          <w:p w14:paraId="314DDAAC">
            <w:pPr>
              <w:spacing w:line="600" w:lineRule="exact"/>
              <w:jc w:val="center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24</w:t>
            </w:r>
          </w:p>
        </w:tc>
      </w:tr>
      <w:tr w14:paraId="72EF4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  <w:vAlign w:val="top"/>
          </w:tcPr>
          <w:p w14:paraId="291065BA">
            <w:pPr>
              <w:spacing w:line="600" w:lineRule="exact"/>
              <w:jc w:val="center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4985" w:type="dxa"/>
            <w:shd w:val="clear" w:color="auto" w:fill="auto"/>
            <w:vAlign w:val="top"/>
          </w:tcPr>
          <w:p w14:paraId="71BF5319">
            <w:pPr>
              <w:spacing w:line="600" w:lineRule="exact"/>
              <w:jc w:val="left"/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清洁生产企业</w:t>
            </w:r>
          </w:p>
        </w:tc>
        <w:tc>
          <w:tcPr>
            <w:tcW w:w="2945" w:type="dxa"/>
            <w:shd w:val="clear" w:color="auto" w:fill="auto"/>
            <w:vAlign w:val="top"/>
          </w:tcPr>
          <w:p w14:paraId="66CF2772">
            <w:pPr>
              <w:spacing w:line="600" w:lineRule="exact"/>
              <w:jc w:val="center"/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1家</w:t>
            </w:r>
          </w:p>
        </w:tc>
      </w:tr>
      <w:tr w14:paraId="238E6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  <w:vAlign w:val="top"/>
          </w:tcPr>
          <w:p w14:paraId="0AC22E50">
            <w:pPr>
              <w:spacing w:line="600" w:lineRule="exact"/>
              <w:jc w:val="center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4985" w:type="dxa"/>
            <w:shd w:val="clear" w:color="auto" w:fill="auto"/>
            <w:vAlign w:val="top"/>
          </w:tcPr>
          <w:p w14:paraId="5437841C">
            <w:pPr>
              <w:spacing w:line="600" w:lineRule="exact"/>
              <w:jc w:val="left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拖欠中小企业帐款化解完成率</w:t>
            </w:r>
          </w:p>
        </w:tc>
        <w:tc>
          <w:tcPr>
            <w:tcW w:w="2945" w:type="dxa"/>
            <w:shd w:val="clear" w:color="auto" w:fill="auto"/>
            <w:vAlign w:val="top"/>
          </w:tcPr>
          <w:p w14:paraId="5B91D309">
            <w:pPr>
              <w:spacing w:line="600" w:lineRule="exact"/>
              <w:jc w:val="center"/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100%</w:t>
            </w:r>
          </w:p>
        </w:tc>
      </w:tr>
      <w:tr w14:paraId="765B8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3" w:type="dxa"/>
            <w:vAlign w:val="top"/>
          </w:tcPr>
          <w:p w14:paraId="78271F51">
            <w:pPr>
              <w:spacing w:line="600" w:lineRule="exact"/>
              <w:jc w:val="center"/>
              <w:rPr>
                <w:rFonts w:hint="default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4985" w:type="dxa"/>
            <w:shd w:val="clear" w:color="auto" w:fill="auto"/>
            <w:vAlign w:val="top"/>
          </w:tcPr>
          <w:p w14:paraId="67942EB4">
            <w:pPr>
              <w:spacing w:line="600" w:lineRule="exact"/>
              <w:jc w:val="left"/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社会公众满意度</w:t>
            </w:r>
          </w:p>
        </w:tc>
        <w:tc>
          <w:tcPr>
            <w:tcW w:w="2945" w:type="dxa"/>
            <w:shd w:val="clear" w:color="auto" w:fill="auto"/>
            <w:vAlign w:val="top"/>
          </w:tcPr>
          <w:p w14:paraId="3D2BDF79">
            <w:pPr>
              <w:spacing w:line="600" w:lineRule="exact"/>
              <w:jc w:val="center"/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90%</w:t>
            </w:r>
          </w:p>
        </w:tc>
      </w:tr>
    </w:tbl>
    <w:p w14:paraId="6483502D">
      <w:pPr>
        <w:spacing w:line="600" w:lineRule="exact"/>
        <w:ind w:firstLine="616" w:firstLineChars="200"/>
        <w:rPr>
          <w:rFonts w:hint="eastAsia" w:ascii="仿宋_GB2312" w:hAnsi="华文仿宋" w:cs="仿宋_GB2312"/>
          <w:szCs w:val="32"/>
        </w:rPr>
      </w:pPr>
    </w:p>
    <w:p w14:paraId="6091BF9E">
      <w:pPr>
        <w:ind w:firstLine="616" w:firstLineChars="200"/>
        <w:rPr>
          <w:rFonts w:ascii="方正小标宋简体" w:eastAsia="方正小标宋简体"/>
        </w:rPr>
      </w:pPr>
      <w:bookmarkStart w:id="9" w:name="_Toc22180"/>
      <w:bookmarkStart w:id="10" w:name="_Toc4514_WPSOffice_Level1"/>
      <w:r>
        <w:rPr>
          <w:rFonts w:hint="eastAsia" w:ascii="方正小标宋简体" w:eastAsia="方正小标宋简体"/>
        </w:rPr>
        <w:t>二、绩效自评结论</w:t>
      </w:r>
      <w:bookmarkEnd w:id="9"/>
      <w:bookmarkEnd w:id="10"/>
    </w:p>
    <w:p w14:paraId="4FE2DB5A">
      <w:pPr>
        <w:snapToGrid w:val="0"/>
        <w:spacing w:line="360" w:lineRule="auto"/>
        <w:ind w:firstLine="616" w:firstLineChars="200"/>
        <w:rPr>
          <w:rFonts w:ascii="方正小标宋简体" w:eastAsia="方正小标宋简体"/>
        </w:rPr>
      </w:pPr>
      <w:r>
        <w:rPr>
          <w:rFonts w:hint="eastAsia" w:ascii="仿宋_GB2312" w:hAnsi="华文仿宋" w:cs="仿宋_GB2312"/>
          <w:szCs w:val="32"/>
          <w:lang w:eastAsia="zh-CN"/>
        </w:rPr>
        <w:t>根据《</w:t>
      </w:r>
      <w:r>
        <w:rPr>
          <w:rFonts w:hint="eastAsia" w:ascii="仿宋_GB2312" w:hAnsi="华文仿宋" w:cs="仿宋_GB2312"/>
          <w:szCs w:val="32"/>
          <w:lang w:val="en-US" w:eastAsia="zh-CN"/>
        </w:rPr>
        <w:t>阳西县财政局关于做好2025年县级财政资金部门整体支出和项目支出绩效自评工作的通知》（西财绩〔2026〕1号）的相关要求和标准,阳西县工业和信息化局2025年部门整体支出绩效自评分数为95.54</w:t>
      </w:r>
      <w:r>
        <w:rPr>
          <w:rFonts w:hint="eastAsia" w:ascii="仿宋_GB2312" w:hAnsi="华文仿宋" w:cs="仿宋_GB2312"/>
          <w:szCs w:val="32"/>
          <w:highlight w:val="none"/>
          <w:lang w:val="en-US" w:eastAsia="zh-CN"/>
        </w:rPr>
        <w:t>分,绩效等级为优</w:t>
      </w:r>
      <w:r>
        <w:rPr>
          <w:rFonts w:hint="eastAsia" w:ascii="仿宋_GB2312" w:hAnsi="华文仿宋" w:cs="仿宋_GB2312"/>
          <w:szCs w:val="32"/>
          <w:highlight w:val="none"/>
        </w:rPr>
        <w:t>。</w:t>
      </w:r>
    </w:p>
    <w:p w14:paraId="6D2095CA">
      <w:pPr>
        <w:ind w:firstLine="616" w:firstLineChars="200"/>
        <w:rPr>
          <w:rFonts w:ascii="方正小标宋简体" w:eastAsia="方正小标宋简体"/>
        </w:rPr>
      </w:pPr>
      <w:bookmarkStart w:id="11" w:name="_Toc2998_WPSOffice_Level1"/>
      <w:bookmarkStart w:id="12" w:name="_Toc2072"/>
      <w:r>
        <w:rPr>
          <w:rFonts w:hint="eastAsia" w:ascii="方正小标宋简体" w:eastAsia="方正小标宋简体"/>
        </w:rPr>
        <w:t>三、绩效自评分析</w:t>
      </w:r>
      <w:bookmarkEnd w:id="11"/>
      <w:bookmarkEnd w:id="12"/>
    </w:p>
    <w:p w14:paraId="67AF6BBC">
      <w:pPr>
        <w:ind w:firstLine="616" w:firstLineChars="200"/>
        <w:rPr>
          <w:b/>
        </w:rPr>
      </w:pPr>
      <w:bookmarkStart w:id="13" w:name="_Toc26765_WPSOffice_Level3"/>
      <w:bookmarkStart w:id="14" w:name="_Toc22677"/>
      <w:bookmarkStart w:id="15" w:name="_Toc19924"/>
      <w:bookmarkStart w:id="16" w:name="_Toc27392_WPSOffice_Level2"/>
      <w:r>
        <w:rPr>
          <w:rFonts w:hint="eastAsia"/>
          <w:b/>
        </w:rPr>
        <w:t>（一）预算编制情况</w:t>
      </w:r>
      <w:bookmarkEnd w:id="13"/>
      <w:bookmarkEnd w:id="14"/>
      <w:bookmarkEnd w:id="15"/>
      <w:bookmarkEnd w:id="16"/>
      <w:r>
        <w:rPr>
          <w:rFonts w:hint="eastAsia"/>
          <w:b/>
        </w:rPr>
        <w:t>。</w:t>
      </w:r>
    </w:p>
    <w:p w14:paraId="4A793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default" w:ascii="仿宋_GB2312" w:hAnsi="仿宋_GB2312" w:eastAsia="仿宋_GB2312" w:cs="仿宋_GB2312"/>
          <w:szCs w:val="32"/>
          <w:lang w:val="en-US" w:eastAsia="zh-CN" w:bidi="ar"/>
        </w:rPr>
      </w:pPr>
      <w:bookmarkStart w:id="17" w:name="_Toc13662"/>
      <w:bookmarkStart w:id="18" w:name="_Toc32482"/>
      <w:bookmarkStart w:id="19" w:name="_Toc5828_WPSOffice_Level3"/>
      <w:bookmarkStart w:id="20" w:name="_Toc19200_WPSOffice_Level2"/>
      <w:r>
        <w:rPr>
          <w:rFonts w:hint="eastAsia" w:ascii="仿宋_GB2312" w:hAnsi="仿宋_GB2312" w:cs="仿宋_GB2312"/>
          <w:szCs w:val="32"/>
          <w:lang w:bidi="ar"/>
        </w:rPr>
        <w:t>1.预算编制</w:t>
      </w:r>
      <w:r>
        <w:rPr>
          <w:rFonts w:hint="eastAsia" w:ascii="仿宋_GB2312" w:hAnsi="仿宋_GB2312" w:cs="仿宋_GB2312"/>
          <w:szCs w:val="32"/>
          <w:lang w:eastAsia="zh-CN" w:bidi="ar"/>
        </w:rPr>
        <w:t>，指标总分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8分，自评得分8分。</w:t>
      </w:r>
    </w:p>
    <w:p w14:paraId="10F0A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default" w:ascii="仿宋_GB2312" w:hAnsi="仿宋_GB2312" w:eastAsia="仿宋_GB2312" w:cs="仿宋_GB231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szCs w:val="32"/>
          <w:lang w:eastAsia="zh-CN" w:bidi="ar"/>
        </w:rPr>
        <w:t>（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1</w:t>
      </w:r>
      <w:r>
        <w:rPr>
          <w:rFonts w:hint="eastAsia" w:ascii="仿宋_GB2312" w:hAnsi="仿宋_GB2312" w:cs="仿宋_GB2312"/>
          <w:szCs w:val="32"/>
          <w:lang w:eastAsia="zh-CN" w:bidi="ar"/>
        </w:rPr>
        <w:t>）</w:t>
      </w:r>
      <w:r>
        <w:rPr>
          <w:rFonts w:hint="eastAsia" w:ascii="仿宋_GB2312" w:hAnsi="仿宋_GB2312" w:cs="仿宋_GB2312"/>
          <w:szCs w:val="32"/>
          <w:lang w:bidi="ar"/>
        </w:rPr>
        <w:t>预算编制合理性</w:t>
      </w:r>
      <w:r>
        <w:rPr>
          <w:rFonts w:hint="eastAsia" w:ascii="仿宋_GB2312" w:hAnsi="仿宋_GB2312" w:cs="仿宋_GB2312"/>
          <w:szCs w:val="32"/>
          <w:lang w:eastAsia="zh-CN" w:bidi="ar"/>
        </w:rPr>
        <w:t>。指标总分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4分，自评得分4分。本部门预算编制合理，符合补助职责，符合县委县政府的方针政策和工作要求，满足年度工作需要，资金根据项目的轻重缓急进行分配。</w:t>
      </w:r>
    </w:p>
    <w:p w14:paraId="1079C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eastAsia" w:ascii="仿宋_GB2312" w:hAnsi="仿宋_GB2312" w:cs="仿宋_GB231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szCs w:val="32"/>
          <w:lang w:eastAsia="zh-CN" w:bidi="ar"/>
        </w:rPr>
        <w:t>（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2</w:t>
      </w:r>
      <w:r>
        <w:rPr>
          <w:rFonts w:hint="eastAsia" w:ascii="仿宋_GB2312" w:hAnsi="仿宋_GB2312" w:cs="仿宋_GB2312"/>
          <w:szCs w:val="32"/>
          <w:lang w:eastAsia="zh-CN" w:bidi="ar"/>
        </w:rPr>
        <w:t>）</w:t>
      </w:r>
      <w:r>
        <w:rPr>
          <w:rFonts w:hint="eastAsia" w:ascii="仿宋_GB2312" w:hAnsi="仿宋_GB2312" w:cs="仿宋_GB2312"/>
          <w:szCs w:val="32"/>
          <w:lang w:bidi="ar"/>
        </w:rPr>
        <w:t>预算编制规范性。</w:t>
      </w:r>
      <w:r>
        <w:rPr>
          <w:rFonts w:hint="eastAsia" w:ascii="仿宋_GB2312" w:hAnsi="仿宋_GB2312" w:cs="仿宋_GB2312"/>
          <w:szCs w:val="32"/>
          <w:lang w:eastAsia="zh-CN" w:bidi="ar"/>
        </w:rPr>
        <w:t>指标总分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4分，自评得分4分。本部门预算编制符合规范性要求，按照县财政部门要求，规范、完整、细致地编制年度预算。</w:t>
      </w:r>
    </w:p>
    <w:p w14:paraId="390FA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eastAsia" w:ascii="仿宋_GB2312" w:hAnsi="仿宋_GB2312" w:cs="仿宋_GB231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szCs w:val="32"/>
          <w:lang w:bidi="ar"/>
        </w:rPr>
        <w:t>2.目标设置情况。</w:t>
      </w:r>
      <w:r>
        <w:rPr>
          <w:rFonts w:hint="eastAsia" w:ascii="仿宋_GB2312" w:hAnsi="仿宋_GB2312" w:cs="仿宋_GB2312"/>
          <w:szCs w:val="32"/>
          <w:lang w:eastAsia="zh-CN" w:bidi="ar"/>
        </w:rPr>
        <w:t>指标总分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12分，自评得分12分。根据部门职责和年度重点工作任务，设置了明确合理的绩效目标。</w:t>
      </w:r>
    </w:p>
    <w:p w14:paraId="26BB8417">
      <w:pPr>
        <w:ind w:firstLine="616" w:firstLineChars="200"/>
        <w:rPr>
          <w:rFonts w:hint="eastAsia" w:ascii="仿宋_GB2312" w:hAnsi="仿宋_GB2312" w:cs="仿宋_GB231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szCs w:val="32"/>
          <w:lang w:val="en-US" w:eastAsia="zh-CN" w:bidi="ar"/>
        </w:rPr>
        <w:t>（1）绩效目标合理性，指标总分6分，自评得分6分。根据部门职责的年度重点工作任务，设立绩效目标与部门履职和年度工作任务相符性。</w:t>
      </w:r>
    </w:p>
    <w:p w14:paraId="522FF91F">
      <w:pPr>
        <w:ind w:firstLine="616" w:firstLineChars="200"/>
        <w:rPr>
          <w:rFonts w:hint="eastAsia" w:ascii="仿宋_GB2312" w:hAnsi="仿宋_GB2312" w:cs="仿宋_GB231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szCs w:val="32"/>
          <w:lang w:val="en-US" w:eastAsia="zh-CN" w:bidi="ar"/>
        </w:rPr>
        <w:t>（2）绩效目标完整性，指标总分2分，自评得分2分。根据部门职责的年度重点工作任务，完整设立绩效目标与部门履职和年度工作任务。</w:t>
      </w:r>
    </w:p>
    <w:p w14:paraId="0A4F6C75">
      <w:pPr>
        <w:ind w:firstLine="616" w:firstLineChars="200"/>
        <w:rPr>
          <w:rFonts w:hint="eastAsia" w:ascii="仿宋_GB2312" w:hAnsi="仿宋_GB2312" w:cs="仿宋_GB231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szCs w:val="32"/>
          <w:lang w:val="en-US" w:eastAsia="zh-CN" w:bidi="ar"/>
        </w:rPr>
        <w:t>（3）绩效目标明确性，指标总分4分，自评得分4分。根据部门职责的年度重点工作任务，明确设立绩效目标与部门履职和年度工作任务。</w:t>
      </w:r>
    </w:p>
    <w:p w14:paraId="03493BB2">
      <w:pPr>
        <w:ind w:firstLine="616" w:firstLineChars="200"/>
        <w:rPr>
          <w:b/>
        </w:rPr>
      </w:pPr>
      <w:r>
        <w:rPr>
          <w:rFonts w:hint="eastAsia"/>
          <w:b/>
        </w:rPr>
        <w:t>（二）预算执行情况</w:t>
      </w:r>
      <w:bookmarkEnd w:id="17"/>
      <w:bookmarkEnd w:id="18"/>
      <w:bookmarkEnd w:id="19"/>
      <w:bookmarkEnd w:id="20"/>
      <w:r>
        <w:rPr>
          <w:rFonts w:hint="eastAsia"/>
          <w:b/>
        </w:rPr>
        <w:t>。</w:t>
      </w:r>
    </w:p>
    <w:p w14:paraId="022308C2">
      <w:pPr>
        <w:ind w:firstLine="924" w:firstLineChars="300"/>
        <w:rPr>
          <w:rFonts w:ascii="仿宋_GB2312" w:hAnsi="仿宋_GB2312" w:cs="仿宋_GB2312"/>
          <w:bCs/>
          <w:szCs w:val="32"/>
          <w:lang w:bidi="ar"/>
        </w:rPr>
      </w:pPr>
      <w:r>
        <w:rPr>
          <w:rFonts w:hint="eastAsia" w:ascii="仿宋_GB2312" w:hAnsi="仿宋_GB2312" w:cs="仿宋_GB2312"/>
          <w:szCs w:val="32"/>
          <w:lang w:bidi="ar"/>
        </w:rPr>
        <w:t>1.制度管理。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指标总分5分，自评得分5分。</w:t>
      </w:r>
    </w:p>
    <w:p w14:paraId="052CB6F1">
      <w:pPr>
        <w:ind w:firstLine="616" w:firstLineChars="200"/>
      </w:pPr>
      <w:r>
        <w:rPr>
          <w:rFonts w:hint="eastAsia" w:ascii="仿宋_GB2312" w:hAnsi="仿宋_GB2312" w:cs="仿宋_GB2312"/>
          <w:bCs/>
          <w:szCs w:val="32"/>
          <w:lang w:val="en-US" w:eastAsia="zh-CN" w:bidi="ar"/>
        </w:rPr>
        <w:t>本部门制定并严格执行相关的管理制度，包括：《财务管理制度》、《车辆管理制度》、《差旅费管理办法》、《内部控制管理制度》等管理制度。</w:t>
      </w:r>
    </w:p>
    <w:p w14:paraId="058F3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24" w:firstLineChars="300"/>
        <w:textAlignment w:val="auto"/>
        <w:rPr>
          <w:rFonts w:ascii="仿宋_GB2312" w:hAnsi="仿宋_GB2312" w:cs="仿宋_GB2312"/>
          <w:bCs/>
          <w:szCs w:val="32"/>
          <w:lang w:bidi="ar"/>
        </w:rPr>
      </w:pPr>
      <w:bookmarkStart w:id="21" w:name="_Toc3319"/>
      <w:r>
        <w:rPr>
          <w:rFonts w:hint="eastAsia" w:ascii="仿宋_GB2312" w:hAnsi="仿宋_GB2312" w:cs="仿宋_GB2312"/>
          <w:szCs w:val="32"/>
          <w:lang w:bidi="ar"/>
        </w:rPr>
        <w:t>2.资金管理。</w:t>
      </w:r>
      <w:bookmarkEnd w:id="21"/>
      <w:r>
        <w:rPr>
          <w:rFonts w:hint="eastAsia" w:ascii="仿宋_GB2312" w:hAnsi="仿宋_GB2312" w:cs="仿宋_GB2312"/>
          <w:szCs w:val="32"/>
          <w:lang w:val="en-US" w:eastAsia="zh-CN" w:bidi="ar"/>
        </w:rPr>
        <w:t>指标总分20分，自评得分16分。</w:t>
      </w:r>
    </w:p>
    <w:p w14:paraId="7DDDA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200"/>
        <w:textAlignment w:val="auto"/>
        <w:rPr>
          <w:rFonts w:hint="eastAsia" w:ascii="仿宋_GB2312" w:hAnsi="仿宋_GB2312" w:cs="仿宋_GB231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bCs/>
          <w:szCs w:val="32"/>
          <w:lang w:eastAsia="zh-CN" w:bidi="ar"/>
        </w:rPr>
        <w:t>（</w:t>
      </w:r>
      <w:r>
        <w:rPr>
          <w:rFonts w:hint="eastAsia" w:ascii="仿宋_GB2312" w:hAnsi="仿宋_GB2312" w:cs="仿宋_GB2312"/>
          <w:bCs/>
          <w:szCs w:val="32"/>
          <w:lang w:val="en-US" w:eastAsia="zh-CN" w:bidi="ar"/>
        </w:rPr>
        <w:t>1</w:t>
      </w:r>
      <w:r>
        <w:rPr>
          <w:rFonts w:hint="eastAsia" w:ascii="仿宋_GB2312" w:hAnsi="仿宋_GB2312" w:cs="仿宋_GB2312"/>
          <w:bCs/>
          <w:szCs w:val="32"/>
          <w:lang w:eastAsia="zh-CN" w:bidi="ar"/>
        </w:rPr>
        <w:t>）</w:t>
      </w:r>
      <w:r>
        <w:rPr>
          <w:rFonts w:hint="eastAsia" w:ascii="仿宋_GB2312" w:hAnsi="仿宋_GB2312" w:cs="仿宋_GB2312"/>
          <w:bCs/>
          <w:szCs w:val="32"/>
          <w:lang w:bidi="ar"/>
        </w:rPr>
        <w:t>资金下达合规性</w:t>
      </w:r>
      <w:r>
        <w:rPr>
          <w:rFonts w:hint="eastAsia" w:ascii="仿宋_GB2312" w:hAnsi="仿宋_GB2312" w:cs="仿宋_GB2312"/>
          <w:bCs/>
          <w:szCs w:val="32"/>
          <w:lang w:eastAsia="zh-CN" w:bidi="ar"/>
        </w:rPr>
        <w:t>。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指标总分2分，自评得分2分。本部门的一般性转移支出和专项转移支付资金都能按时下达。</w:t>
      </w:r>
    </w:p>
    <w:p w14:paraId="529830F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16" w:firstLineChars="200"/>
        <w:textAlignment w:val="auto"/>
        <w:rPr>
          <w:rFonts w:hint="eastAsia" w:ascii="仿宋_GB2312" w:hAnsi="仿宋_GB2312" w:cs="仿宋_GB231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szCs w:val="32"/>
          <w:lang w:val="en-US" w:eastAsia="zh-CN" w:bidi="ar"/>
        </w:rPr>
        <w:t>（2）</w:t>
      </w:r>
      <w:r>
        <w:rPr>
          <w:rFonts w:hint="eastAsia" w:ascii="仿宋_GB2312" w:hAnsi="仿宋_GB2312" w:cs="仿宋_GB2312"/>
          <w:bCs/>
          <w:szCs w:val="32"/>
          <w:lang w:bidi="ar"/>
        </w:rPr>
        <w:t>部门预算资金支出完成率</w:t>
      </w:r>
      <w:r>
        <w:rPr>
          <w:rFonts w:hint="eastAsia" w:ascii="仿宋_GB2312" w:hAnsi="仿宋_GB2312" w:cs="仿宋_GB2312"/>
          <w:bCs/>
          <w:szCs w:val="32"/>
          <w:lang w:eastAsia="zh-CN" w:bidi="ar"/>
        </w:rPr>
        <w:t>。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指标总分5分，自评得分5分。年初预算数支出与财政下达预算数一致。</w:t>
      </w:r>
    </w:p>
    <w:p w14:paraId="785060B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16" w:firstLineChars="200"/>
        <w:textAlignment w:val="auto"/>
        <w:rPr>
          <w:rFonts w:hint="default" w:ascii="仿宋_GB2312" w:hAnsi="仿宋_GB2312" w:eastAsia="仿宋_GB2312" w:cs="仿宋_GB2312"/>
          <w:szCs w:val="32"/>
          <w:highlight w:val="yellow"/>
          <w:lang w:val="en-US" w:eastAsia="zh-CN" w:bidi="ar"/>
        </w:rPr>
      </w:pPr>
      <w:r>
        <w:rPr>
          <w:rFonts w:hint="eastAsia" w:ascii="仿宋_GB2312" w:hAnsi="仿宋_GB2312" w:cs="仿宋_GB2312"/>
          <w:szCs w:val="32"/>
          <w:lang w:val="en-US" w:eastAsia="zh-CN" w:bidi="ar"/>
        </w:rPr>
        <w:t>（3）</w:t>
      </w:r>
      <w:r>
        <w:rPr>
          <w:rFonts w:hint="eastAsia" w:ascii="仿宋_GB2312" w:hAnsi="仿宋_GB2312" w:cs="仿宋_GB2312"/>
          <w:bCs/>
          <w:szCs w:val="32"/>
          <w:lang w:bidi="ar"/>
        </w:rPr>
        <w:t>结转结余率</w:t>
      </w:r>
      <w:r>
        <w:rPr>
          <w:rFonts w:hint="eastAsia" w:ascii="仿宋_GB2312" w:hAnsi="仿宋_GB2312" w:cs="仿宋_GB2312"/>
          <w:bCs/>
          <w:szCs w:val="32"/>
          <w:lang w:eastAsia="zh-CN" w:bidi="ar"/>
        </w:rPr>
        <w:t>。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指标总分2分，自评得分2分。2025年年末结余结转率为</w:t>
      </w:r>
      <w:r>
        <w:rPr>
          <w:rFonts w:hint="eastAsia" w:ascii="仿宋_GB2312" w:hAnsi="仿宋_GB2312" w:cs="仿宋_GB2312"/>
          <w:szCs w:val="32"/>
          <w:highlight w:val="none"/>
          <w:lang w:val="en-US" w:eastAsia="zh-CN" w:bidi="ar"/>
        </w:rPr>
        <w:t>0.3%。</w:t>
      </w:r>
    </w:p>
    <w:p w14:paraId="12BC0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rPr>
          <w:rFonts w:hint="eastAsia" w:ascii="仿宋_GB2312" w:hAnsi="仿宋_GB2312" w:cs="仿宋_GB231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bCs/>
          <w:szCs w:val="32"/>
          <w:lang w:eastAsia="zh-CN" w:bidi="ar"/>
        </w:rPr>
        <w:t>（</w:t>
      </w:r>
      <w:r>
        <w:rPr>
          <w:rFonts w:hint="eastAsia" w:ascii="仿宋_GB2312" w:hAnsi="仿宋_GB2312" w:cs="仿宋_GB2312"/>
          <w:bCs/>
          <w:szCs w:val="32"/>
          <w:lang w:val="en-US" w:eastAsia="zh-CN" w:bidi="ar"/>
        </w:rPr>
        <w:t>4</w:t>
      </w:r>
      <w:r>
        <w:rPr>
          <w:rFonts w:hint="eastAsia" w:ascii="仿宋_GB2312" w:hAnsi="仿宋_GB2312" w:cs="仿宋_GB2312"/>
          <w:bCs/>
          <w:szCs w:val="32"/>
          <w:lang w:eastAsia="zh-CN" w:bidi="ar"/>
        </w:rPr>
        <w:t>）</w:t>
      </w:r>
      <w:r>
        <w:rPr>
          <w:rFonts w:hint="eastAsia" w:ascii="仿宋_GB2312" w:hAnsi="仿宋_GB2312" w:cs="仿宋_GB2312"/>
          <w:bCs/>
          <w:szCs w:val="32"/>
          <w:lang w:bidi="ar"/>
        </w:rPr>
        <w:t>政府采购执行情况</w:t>
      </w:r>
      <w:r>
        <w:rPr>
          <w:rFonts w:hint="eastAsia" w:ascii="仿宋_GB2312" w:hAnsi="仿宋_GB2312" w:cs="仿宋_GB2312"/>
          <w:bCs/>
          <w:szCs w:val="32"/>
          <w:lang w:eastAsia="zh-CN" w:bidi="ar"/>
        </w:rPr>
        <w:t>。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指标总分4分，自评得分0分。2025年政府采购金额为13.98万元</w:t>
      </w:r>
      <w:r>
        <w:rPr>
          <w:rFonts w:hint="eastAsia" w:ascii="仿宋_GB2312" w:hAnsi="仿宋_GB2312" w:cs="仿宋_GB2312"/>
          <w:szCs w:val="32"/>
          <w:highlight w:val="none"/>
          <w:lang w:val="en-US" w:eastAsia="zh-CN" w:bidi="ar"/>
        </w:rPr>
        <w:t>。</w:t>
      </w:r>
    </w:p>
    <w:p w14:paraId="27AFC352">
      <w:pPr>
        <w:ind w:firstLine="616" w:firstLineChars="200"/>
        <w:rPr>
          <w:rFonts w:hint="eastAsia"/>
          <w:lang w:eastAsia="zh-CN"/>
        </w:rPr>
      </w:pPr>
      <w:r>
        <w:rPr>
          <w:rFonts w:hint="eastAsia" w:ascii="仿宋_GB2312" w:hAnsi="仿宋_GB2312" w:cs="仿宋_GB2312"/>
          <w:bCs/>
          <w:szCs w:val="32"/>
          <w:lang w:eastAsia="zh-CN" w:bidi="ar"/>
        </w:rPr>
        <w:t>（</w:t>
      </w:r>
      <w:r>
        <w:rPr>
          <w:rFonts w:hint="eastAsia" w:ascii="仿宋_GB2312" w:hAnsi="仿宋_GB2312" w:cs="仿宋_GB2312"/>
          <w:bCs/>
          <w:szCs w:val="32"/>
          <w:lang w:val="en-US" w:eastAsia="zh-CN" w:bidi="ar"/>
        </w:rPr>
        <w:t>5</w:t>
      </w:r>
      <w:r>
        <w:rPr>
          <w:rFonts w:hint="eastAsia" w:ascii="仿宋_GB2312" w:hAnsi="仿宋_GB2312" w:cs="仿宋_GB2312"/>
          <w:bCs/>
          <w:szCs w:val="32"/>
          <w:lang w:eastAsia="zh-CN" w:bidi="ar"/>
        </w:rPr>
        <w:t>）</w:t>
      </w:r>
      <w:r>
        <w:rPr>
          <w:rFonts w:hint="eastAsia" w:ascii="仿宋_GB2312" w:hAnsi="仿宋_GB2312" w:cs="仿宋_GB2312"/>
          <w:bCs/>
          <w:szCs w:val="32"/>
          <w:lang w:bidi="ar"/>
        </w:rPr>
        <w:t>财务合规性</w:t>
      </w:r>
      <w:r>
        <w:rPr>
          <w:rFonts w:hint="eastAsia" w:ascii="仿宋_GB2312" w:hAnsi="仿宋_GB2312" w:cs="仿宋_GB2312"/>
          <w:bCs/>
          <w:szCs w:val="32"/>
          <w:lang w:eastAsia="zh-CN" w:bidi="ar"/>
        </w:rPr>
        <w:t>。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指标总分4分，自评得分4分。本部门资金费用支出严格按照制度支出，会计核算规范，统一行政事业单位财政集中财务核算上做帐。</w:t>
      </w:r>
    </w:p>
    <w:p w14:paraId="1D218EB6">
      <w:pPr>
        <w:ind w:firstLine="616" w:firstLineChars="200"/>
        <w:rPr>
          <w:rFonts w:ascii="仿宋_GB2312" w:hAnsi="仿宋_GB2312" w:cs="仿宋_GB2312"/>
          <w:bCs/>
          <w:szCs w:val="32"/>
          <w:lang w:bidi="ar"/>
        </w:rPr>
      </w:pPr>
      <w:r>
        <w:rPr>
          <w:rFonts w:hint="eastAsia" w:ascii="仿宋_GB2312" w:hAnsi="仿宋_GB2312" w:cs="仿宋_GB2312"/>
          <w:bCs/>
          <w:szCs w:val="32"/>
          <w:lang w:eastAsia="zh-CN" w:bidi="ar"/>
        </w:rPr>
        <w:t>（</w:t>
      </w:r>
      <w:r>
        <w:rPr>
          <w:rFonts w:hint="eastAsia" w:ascii="仿宋_GB2312" w:hAnsi="仿宋_GB2312" w:cs="仿宋_GB2312"/>
          <w:bCs/>
          <w:szCs w:val="32"/>
          <w:lang w:val="en-US" w:eastAsia="zh-CN" w:bidi="ar"/>
        </w:rPr>
        <w:t>6）</w:t>
      </w:r>
      <w:r>
        <w:rPr>
          <w:rFonts w:hint="eastAsia" w:ascii="仿宋_GB2312" w:hAnsi="仿宋_GB2312" w:cs="仿宋_GB2312"/>
          <w:bCs/>
          <w:szCs w:val="32"/>
          <w:lang w:bidi="ar"/>
        </w:rPr>
        <w:t>预决算信息公开性</w:t>
      </w:r>
      <w:r>
        <w:rPr>
          <w:rFonts w:hint="eastAsia" w:ascii="仿宋_GB2312" w:hAnsi="仿宋_GB2312" w:cs="仿宋_GB2312"/>
          <w:bCs/>
          <w:szCs w:val="32"/>
          <w:lang w:eastAsia="zh-CN" w:bidi="ar"/>
        </w:rPr>
        <w:t>。</w:t>
      </w:r>
      <w:r>
        <w:rPr>
          <w:rFonts w:hint="eastAsia" w:ascii="仿宋_GB2312" w:hAnsi="仿宋_GB2312" w:cs="仿宋_GB2312"/>
          <w:szCs w:val="32"/>
          <w:lang w:eastAsia="zh-CN" w:bidi="ar"/>
        </w:rPr>
        <w:t>指标总分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3分，自评得分3分。部门预决算统一按财政局要求按规定内容、在规定时限和范围内公开。</w:t>
      </w:r>
    </w:p>
    <w:p w14:paraId="60D98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200"/>
        <w:textAlignment w:val="auto"/>
        <w:rPr>
          <w:rFonts w:ascii="仿宋_GB2312" w:hAnsi="仿宋_GB2312" w:cs="仿宋_GB2312"/>
          <w:szCs w:val="32"/>
          <w:lang w:bidi="ar"/>
        </w:rPr>
      </w:pPr>
      <w:bookmarkStart w:id="22" w:name="_Toc29827"/>
      <w:bookmarkStart w:id="23" w:name="_Toc3788"/>
      <w:r>
        <w:rPr>
          <w:rFonts w:hint="eastAsia" w:ascii="仿宋_GB2312" w:hAnsi="仿宋_GB2312" w:cs="仿宋_GB2312"/>
          <w:szCs w:val="32"/>
          <w:lang w:bidi="ar"/>
        </w:rPr>
        <w:t>3.项目管理。</w:t>
      </w:r>
      <w:bookmarkEnd w:id="22"/>
      <w:r>
        <w:rPr>
          <w:rFonts w:hint="eastAsia" w:ascii="仿宋_GB2312" w:hAnsi="仿宋_GB2312" w:cs="仿宋_GB2312"/>
          <w:szCs w:val="32"/>
          <w:lang w:eastAsia="zh-CN" w:bidi="ar"/>
        </w:rPr>
        <w:t>指标总分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8分，自评得分8分。</w:t>
      </w:r>
    </w:p>
    <w:p w14:paraId="61221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200"/>
        <w:textAlignment w:val="auto"/>
        <w:rPr>
          <w:rFonts w:hint="eastAsia" w:ascii="仿宋_GB2312" w:hAnsi="仿宋_GB2312" w:cs="仿宋_GB231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szCs w:val="32"/>
          <w:lang w:eastAsia="zh-CN" w:bidi="ar"/>
        </w:rPr>
        <w:t>（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1</w:t>
      </w:r>
      <w:r>
        <w:rPr>
          <w:rFonts w:hint="eastAsia" w:ascii="仿宋_GB2312" w:hAnsi="仿宋_GB2312" w:cs="仿宋_GB2312"/>
          <w:szCs w:val="32"/>
          <w:lang w:eastAsia="zh-CN" w:bidi="ar"/>
        </w:rPr>
        <w:t>）项目实施程序。指标总分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5分，自评得分5分。我局所有项目支出实施过程符合规范，严格执行相关制度规定。</w:t>
      </w:r>
    </w:p>
    <w:p w14:paraId="3AF4AF9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16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cs="仿宋_GB2312"/>
          <w:szCs w:val="32"/>
          <w:lang w:eastAsia="zh-CN" w:bidi="ar"/>
        </w:rPr>
        <w:t>（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2</w:t>
      </w:r>
      <w:r>
        <w:rPr>
          <w:rFonts w:hint="eastAsia" w:ascii="仿宋_GB2312" w:hAnsi="仿宋_GB2312" w:cs="仿宋_GB2312"/>
          <w:szCs w:val="32"/>
          <w:lang w:eastAsia="zh-CN" w:bidi="ar"/>
        </w:rPr>
        <w:t>）项目监管。指标总分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3分，自评得分3分。我局所有项目支出建立有效运行监控机制。</w:t>
      </w:r>
    </w:p>
    <w:bookmarkEnd w:id="23"/>
    <w:p w14:paraId="0367D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200"/>
        <w:textAlignment w:val="auto"/>
        <w:rPr>
          <w:rFonts w:hint="eastAsia" w:ascii="仿宋_GB2312" w:hAnsi="仿宋_GB2312" w:cs="仿宋_GB231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szCs w:val="32"/>
          <w:lang w:val="en-US" w:eastAsia="zh-CN" w:bidi="ar"/>
        </w:rPr>
        <w:t>4.</w:t>
      </w:r>
      <w:r>
        <w:rPr>
          <w:rFonts w:hint="eastAsia" w:ascii="仿宋_GB2312" w:hAnsi="仿宋_GB2312" w:cs="仿宋_GB2312"/>
          <w:szCs w:val="32"/>
          <w:lang w:bidi="ar"/>
        </w:rPr>
        <w:t>资产管理。</w:t>
      </w:r>
      <w:r>
        <w:rPr>
          <w:rFonts w:hint="eastAsia" w:ascii="仿宋_GB2312" w:hAnsi="仿宋_GB2312" w:cs="仿宋_GB2312"/>
          <w:szCs w:val="32"/>
          <w:lang w:eastAsia="zh-CN" w:bidi="ar"/>
        </w:rPr>
        <w:t>指标总分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7分，自评得分7分。</w:t>
      </w:r>
    </w:p>
    <w:p w14:paraId="330C2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outlineLvl w:val="9"/>
        <w:rPr>
          <w:rFonts w:hint="eastAsia" w:ascii="仿宋_GB2312" w:hAnsi="仿宋_GB2312" w:cs="仿宋_GB231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szCs w:val="32"/>
          <w:lang w:val="en-US" w:eastAsia="zh-CN" w:bidi="ar"/>
        </w:rPr>
        <w:t>（1）资产管理合规性。指标总分5分，自评得分5分。阳西县工业和信息化局资产配置合理，保管完整，帐实相符，按时报送行政事业性国有资产年报和月报，年报数据完整、准确。</w:t>
      </w:r>
    </w:p>
    <w:p w14:paraId="36254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outlineLvl w:val="9"/>
        <w:rPr>
          <w:rFonts w:hint="eastAsia" w:ascii="仿宋_GB2312" w:hAnsi="仿宋_GB2312" w:cs="仿宋_GB2312"/>
          <w:szCs w:val="32"/>
          <w:lang w:bidi="ar"/>
        </w:rPr>
      </w:pPr>
      <w:r>
        <w:rPr>
          <w:rFonts w:hint="eastAsia" w:ascii="仿宋_GB2312" w:hAnsi="仿宋_GB2312" w:cs="仿宋_GB2312"/>
          <w:szCs w:val="32"/>
          <w:lang w:val="en-US" w:eastAsia="zh-CN" w:bidi="ar"/>
        </w:rPr>
        <w:t>（2）固定资产利用率。指标总分2分，自评得分2分。固定资产利用率超90%以上。</w:t>
      </w:r>
    </w:p>
    <w:p w14:paraId="38005A42">
      <w:pPr>
        <w:ind w:firstLine="616" w:firstLineChars="200"/>
        <w:rPr>
          <w:b/>
        </w:rPr>
      </w:pPr>
      <w:bookmarkStart w:id="24" w:name="_Toc20443_WPSOffice_Level3"/>
      <w:bookmarkStart w:id="25" w:name="_Toc26860"/>
      <w:bookmarkStart w:id="26" w:name="_Toc15901_WPSOffice_Level2"/>
      <w:bookmarkStart w:id="27" w:name="_Toc14900"/>
      <w:r>
        <w:rPr>
          <w:rFonts w:hint="eastAsia"/>
          <w:b/>
        </w:rPr>
        <w:t>（三）</w:t>
      </w:r>
      <w:bookmarkEnd w:id="24"/>
      <w:bookmarkEnd w:id="25"/>
      <w:bookmarkEnd w:id="26"/>
      <w:bookmarkEnd w:id="27"/>
      <w:r>
        <w:rPr>
          <w:rFonts w:hint="eastAsia"/>
          <w:b/>
          <w:lang w:val="en-US" w:eastAsia="zh-CN"/>
        </w:rPr>
        <w:t>资金</w:t>
      </w:r>
      <w:r>
        <w:rPr>
          <w:rFonts w:hint="eastAsia"/>
          <w:b/>
        </w:rPr>
        <w:t>使用效益。</w:t>
      </w:r>
      <w:r>
        <w:rPr>
          <w:rFonts w:hint="eastAsia"/>
          <w:b/>
          <w:lang w:eastAsia="zh-CN"/>
        </w:rPr>
        <w:t>指标总分</w:t>
      </w:r>
      <w:r>
        <w:rPr>
          <w:rFonts w:hint="eastAsia"/>
          <w:b/>
          <w:lang w:val="en-US" w:eastAsia="zh-CN"/>
        </w:rPr>
        <w:t>40分，自评得分39.49分</w:t>
      </w:r>
    </w:p>
    <w:p w14:paraId="31EC8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200"/>
        <w:textAlignment w:val="auto"/>
        <w:rPr>
          <w:rFonts w:ascii="仿宋_GB2312" w:hAnsi="仿宋_GB2312" w:cs="仿宋_GB2312"/>
          <w:szCs w:val="32"/>
          <w:lang w:bidi="ar"/>
        </w:rPr>
      </w:pPr>
      <w:bookmarkStart w:id="28" w:name="_Toc23861"/>
      <w:bookmarkStart w:id="29" w:name="_Toc18975"/>
      <w:r>
        <w:rPr>
          <w:rFonts w:hint="eastAsia" w:ascii="仿宋_GB2312" w:hAnsi="仿宋_GB2312" w:cs="仿宋_GB2312"/>
          <w:szCs w:val="32"/>
          <w:lang w:bidi="ar"/>
        </w:rPr>
        <w:t>1.经济性。</w:t>
      </w:r>
      <w:bookmarkEnd w:id="28"/>
      <w:r>
        <w:rPr>
          <w:rFonts w:hint="eastAsia" w:ascii="仿宋_GB2312" w:hAnsi="仿宋_GB2312" w:cs="仿宋_GB2312"/>
          <w:szCs w:val="32"/>
          <w:lang w:val="en-US" w:eastAsia="zh-CN" w:bidi="ar"/>
        </w:rPr>
        <w:t>指标总分5分，自评得分5分。本部门“三公”经费实际支出</w:t>
      </w:r>
      <w:r>
        <w:rPr>
          <w:rFonts w:hint="eastAsia" w:ascii="仿宋_GB2312" w:hAnsi="仿宋_GB2312" w:cs="仿宋_GB2312"/>
          <w:szCs w:val="32"/>
          <w:highlight w:val="none"/>
          <w:lang w:val="en-US" w:eastAsia="zh-CN" w:bidi="ar"/>
        </w:rPr>
        <w:t>数3.32万元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小于预算安排的三公经费数20.9万元。日常公用经费决算数等于日常公用经费调整预算数。</w:t>
      </w:r>
    </w:p>
    <w:p w14:paraId="7DED906A">
      <w:pPr>
        <w:ind w:firstLine="616" w:firstLineChars="200"/>
        <w:rPr>
          <w:rFonts w:hint="eastAsia" w:ascii="仿宋_GB2312" w:hAnsi="仿宋_GB2312" w:cs="仿宋_GB2312"/>
          <w:szCs w:val="32"/>
          <w:lang w:eastAsia="zh-CN" w:bidi="ar"/>
        </w:rPr>
      </w:pPr>
      <w:bookmarkStart w:id="30" w:name="_Toc19171"/>
      <w:r>
        <w:rPr>
          <w:rFonts w:hint="eastAsia" w:ascii="仿宋_GB2312" w:hAnsi="仿宋_GB2312" w:cs="仿宋_GB2312"/>
          <w:szCs w:val="32"/>
          <w:lang w:bidi="ar"/>
        </w:rPr>
        <w:t>2.效率性。</w:t>
      </w:r>
      <w:bookmarkEnd w:id="30"/>
      <w:r>
        <w:rPr>
          <w:rFonts w:hint="eastAsia" w:ascii="仿宋_GB2312" w:hAnsi="仿宋_GB2312" w:cs="仿宋_GB2312"/>
          <w:szCs w:val="32"/>
          <w:lang w:val="en-US" w:eastAsia="zh-CN" w:bidi="ar"/>
        </w:rPr>
        <w:t>指标总分10分，自评得分9.54分。</w:t>
      </w:r>
    </w:p>
    <w:p w14:paraId="32AF8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16" w:firstLineChars="200"/>
        <w:textAlignment w:val="auto"/>
        <w:outlineLvl w:val="9"/>
        <w:rPr>
          <w:rFonts w:hint="eastAsia" w:ascii="仿宋_GB2312" w:hAnsi="仿宋_GB2312" w:cs="仿宋_GB231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szCs w:val="32"/>
          <w:lang w:eastAsia="zh-CN" w:bidi="ar"/>
        </w:rPr>
        <w:t>（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1</w:t>
      </w:r>
      <w:r>
        <w:rPr>
          <w:rFonts w:hint="eastAsia" w:ascii="仿宋_GB2312" w:hAnsi="仿宋_GB2312" w:cs="仿宋_GB2312"/>
          <w:szCs w:val="32"/>
          <w:lang w:eastAsia="zh-CN" w:bidi="ar"/>
        </w:rPr>
        <w:t>）项目完成及时性，指标总分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3分，自评得分3分，本部门项目均按预算安排的计划时间完成。</w:t>
      </w:r>
    </w:p>
    <w:p w14:paraId="5AA19621">
      <w:pPr>
        <w:ind w:firstLine="616" w:firstLineChars="200"/>
        <w:rPr>
          <w:rFonts w:hint="eastAsia" w:ascii="仿宋_GB2312" w:hAnsi="仿宋_GB2312" w:cs="仿宋_GB231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szCs w:val="32"/>
          <w:lang w:eastAsia="zh-CN" w:bidi="ar"/>
        </w:rPr>
        <w:t>（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2</w:t>
      </w:r>
      <w:r>
        <w:rPr>
          <w:rFonts w:hint="eastAsia" w:ascii="仿宋_GB2312" w:hAnsi="仿宋_GB2312" w:cs="仿宋_GB2312"/>
          <w:szCs w:val="32"/>
          <w:lang w:eastAsia="zh-CN" w:bidi="ar"/>
        </w:rPr>
        <w:t>）绩效目标完成率，指标总分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3分，自评得分2.54分，本部门整体绩效计划目标共13个，已实现目标11个，整体绩效目标完成率84.62%。本部门项目绩效目标按预算安排的计划时间完成。</w:t>
      </w:r>
    </w:p>
    <w:p w14:paraId="5E32E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200"/>
        <w:textAlignment w:val="auto"/>
      </w:pPr>
      <w:r>
        <w:rPr>
          <w:rFonts w:hint="eastAsia" w:ascii="仿宋_GB2312" w:hAnsi="仿宋_GB2312" w:cs="仿宋_GB2312"/>
          <w:szCs w:val="32"/>
          <w:lang w:val="en-US" w:eastAsia="zh-CN" w:bidi="ar"/>
        </w:rPr>
        <w:t>（3）重点任务完成情况，指标总分4分，自评得分4分，本部门全部按期保质保量完成任务。</w:t>
      </w:r>
    </w:p>
    <w:p w14:paraId="71C35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24" w:firstLineChars="300"/>
        <w:textAlignment w:val="auto"/>
        <w:rPr>
          <w:rFonts w:hint="eastAsia" w:ascii="仿宋_GB2312" w:hAnsi="仿宋_GB2312" w:cs="仿宋_GB2312"/>
          <w:szCs w:val="32"/>
          <w:lang w:val="en-US" w:eastAsia="zh-CN" w:bidi="ar"/>
        </w:rPr>
      </w:pPr>
      <w:bookmarkStart w:id="31" w:name="_Toc15830"/>
      <w:r>
        <w:rPr>
          <w:rFonts w:hint="eastAsia" w:ascii="仿宋_GB2312" w:hAnsi="仿宋_GB2312" w:cs="仿宋_GB2312"/>
          <w:szCs w:val="32"/>
          <w:lang w:bidi="ar"/>
        </w:rPr>
        <w:t>3.效果性。</w:t>
      </w:r>
      <w:bookmarkEnd w:id="31"/>
      <w:r>
        <w:rPr>
          <w:rFonts w:hint="eastAsia" w:ascii="仿宋_GB2312" w:hAnsi="仿宋_GB2312" w:cs="仿宋_GB2312"/>
          <w:szCs w:val="32"/>
          <w:lang w:val="en-US" w:eastAsia="zh-CN" w:bidi="ar"/>
        </w:rPr>
        <w:t>指标总分20分，自评得分20分。2024年本部门整体绩效目标基本按预期完成，详见下表。</w:t>
      </w:r>
    </w:p>
    <w:p w14:paraId="0F8D79CF">
      <w:pPr>
        <w:pStyle w:val="4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2025年部门整体绩效目标实现情况表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3500"/>
        <w:gridCol w:w="1188"/>
        <w:gridCol w:w="1275"/>
        <w:gridCol w:w="2089"/>
      </w:tblGrid>
      <w:tr w14:paraId="04F6C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</w:tcPr>
          <w:p w14:paraId="743227E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500" w:type="dxa"/>
          </w:tcPr>
          <w:p w14:paraId="46EB806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绩效目标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188" w:type="dxa"/>
          </w:tcPr>
          <w:p w14:paraId="36C0408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目标值</w:t>
            </w:r>
          </w:p>
        </w:tc>
        <w:tc>
          <w:tcPr>
            <w:tcW w:w="1275" w:type="dxa"/>
            <w:vAlign w:val="top"/>
          </w:tcPr>
          <w:p w14:paraId="6C4BEBB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完成值</w:t>
            </w:r>
          </w:p>
        </w:tc>
        <w:tc>
          <w:tcPr>
            <w:tcW w:w="2089" w:type="dxa"/>
            <w:vAlign w:val="top"/>
          </w:tcPr>
          <w:p w14:paraId="7678DA88">
            <w:pPr>
              <w:tabs>
                <w:tab w:val="left" w:pos="388"/>
              </w:tabs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完成情况</w:t>
            </w:r>
          </w:p>
        </w:tc>
      </w:tr>
      <w:tr w14:paraId="2D767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</w:tcPr>
          <w:p w14:paraId="00A1168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500" w:type="dxa"/>
            <w:vAlign w:val="top"/>
          </w:tcPr>
          <w:p w14:paraId="7E5A0D6E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开展技术改造企业数（家）</w:t>
            </w:r>
          </w:p>
        </w:tc>
        <w:tc>
          <w:tcPr>
            <w:tcW w:w="1188" w:type="dxa"/>
            <w:vAlign w:val="top"/>
          </w:tcPr>
          <w:p w14:paraId="24BF8D31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1275" w:type="dxa"/>
            <w:vAlign w:val="top"/>
          </w:tcPr>
          <w:p w14:paraId="305E53E0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2089" w:type="dxa"/>
            <w:vAlign w:val="top"/>
          </w:tcPr>
          <w:p w14:paraId="069D7B15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完成</w:t>
            </w:r>
          </w:p>
        </w:tc>
      </w:tr>
      <w:tr w14:paraId="3D66E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</w:tcPr>
          <w:p w14:paraId="4E0908E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500" w:type="dxa"/>
            <w:vAlign w:val="top"/>
          </w:tcPr>
          <w:p w14:paraId="74BE5CEB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规上工业增加值增速（%）</w:t>
            </w:r>
          </w:p>
        </w:tc>
        <w:tc>
          <w:tcPr>
            <w:tcW w:w="1188" w:type="dxa"/>
            <w:vAlign w:val="top"/>
          </w:tcPr>
          <w:p w14:paraId="3D990E0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275" w:type="dxa"/>
            <w:vAlign w:val="top"/>
          </w:tcPr>
          <w:p w14:paraId="022D5EC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未完成</w:t>
            </w:r>
          </w:p>
        </w:tc>
        <w:tc>
          <w:tcPr>
            <w:tcW w:w="2089" w:type="dxa"/>
            <w:vAlign w:val="top"/>
          </w:tcPr>
          <w:p w14:paraId="49FE7E0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未完成</w:t>
            </w:r>
          </w:p>
        </w:tc>
      </w:tr>
      <w:tr w14:paraId="429B1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</w:tcPr>
          <w:p w14:paraId="4D5A96F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500" w:type="dxa"/>
            <w:vAlign w:val="top"/>
          </w:tcPr>
          <w:p w14:paraId="5AB83730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园区扩园提质增效</w:t>
            </w:r>
          </w:p>
        </w:tc>
        <w:tc>
          <w:tcPr>
            <w:tcW w:w="1188" w:type="dxa"/>
            <w:vAlign w:val="top"/>
          </w:tcPr>
          <w:p w14:paraId="24AF7AC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通过园区考核</w:t>
            </w:r>
          </w:p>
        </w:tc>
        <w:tc>
          <w:tcPr>
            <w:tcW w:w="1275" w:type="dxa"/>
            <w:vAlign w:val="top"/>
          </w:tcPr>
          <w:p w14:paraId="4F51E0E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通过园区考核</w:t>
            </w:r>
          </w:p>
        </w:tc>
        <w:tc>
          <w:tcPr>
            <w:tcW w:w="2089" w:type="dxa"/>
            <w:vAlign w:val="top"/>
          </w:tcPr>
          <w:p w14:paraId="1F0E8D6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完成</w:t>
            </w:r>
          </w:p>
        </w:tc>
      </w:tr>
      <w:tr w14:paraId="231F7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</w:tcPr>
          <w:p w14:paraId="697FFF2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500" w:type="dxa"/>
            <w:vAlign w:val="top"/>
          </w:tcPr>
          <w:p w14:paraId="5A522CE7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“小升规”企业数（家）</w:t>
            </w:r>
          </w:p>
        </w:tc>
        <w:tc>
          <w:tcPr>
            <w:tcW w:w="1188" w:type="dxa"/>
            <w:vAlign w:val="top"/>
          </w:tcPr>
          <w:p w14:paraId="55DDB32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275" w:type="dxa"/>
            <w:vAlign w:val="top"/>
          </w:tcPr>
          <w:p w14:paraId="10AEC202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089" w:type="dxa"/>
            <w:vAlign w:val="top"/>
          </w:tcPr>
          <w:p w14:paraId="467DD89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完成</w:t>
            </w:r>
          </w:p>
        </w:tc>
      </w:tr>
      <w:tr w14:paraId="47477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</w:tcPr>
          <w:p w14:paraId="060E169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500" w:type="dxa"/>
            <w:vAlign w:val="top"/>
          </w:tcPr>
          <w:p w14:paraId="17AD4B46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高新技术企业数量</w:t>
            </w:r>
          </w:p>
        </w:tc>
        <w:tc>
          <w:tcPr>
            <w:tcW w:w="1188" w:type="dxa"/>
            <w:vAlign w:val="top"/>
          </w:tcPr>
          <w:p w14:paraId="7F11136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6家</w:t>
            </w:r>
          </w:p>
        </w:tc>
        <w:tc>
          <w:tcPr>
            <w:tcW w:w="1275" w:type="dxa"/>
            <w:vAlign w:val="top"/>
          </w:tcPr>
          <w:p w14:paraId="12667B6A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8家</w:t>
            </w:r>
          </w:p>
        </w:tc>
        <w:tc>
          <w:tcPr>
            <w:tcW w:w="2089" w:type="dxa"/>
            <w:vAlign w:val="top"/>
          </w:tcPr>
          <w:p w14:paraId="1B22B0D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完成</w:t>
            </w:r>
          </w:p>
        </w:tc>
      </w:tr>
      <w:tr w14:paraId="11064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  <w:vAlign w:val="top"/>
          </w:tcPr>
          <w:p w14:paraId="15C7968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500" w:type="dxa"/>
            <w:shd w:val="clear" w:color="auto" w:fill="auto"/>
            <w:vAlign w:val="top"/>
          </w:tcPr>
          <w:p w14:paraId="33BD7784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新增专精特新中小企业认定（复核）</w:t>
            </w:r>
          </w:p>
        </w:tc>
        <w:tc>
          <w:tcPr>
            <w:tcW w:w="1188" w:type="dxa"/>
            <w:shd w:val="clear" w:color="auto" w:fill="auto"/>
            <w:vAlign w:val="top"/>
          </w:tcPr>
          <w:p w14:paraId="632B16D2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3家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289E6685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3家</w:t>
            </w:r>
          </w:p>
        </w:tc>
        <w:tc>
          <w:tcPr>
            <w:tcW w:w="2089" w:type="dxa"/>
            <w:shd w:val="clear" w:color="auto" w:fill="auto"/>
            <w:vAlign w:val="top"/>
          </w:tcPr>
          <w:p w14:paraId="21D9A7C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完成</w:t>
            </w:r>
          </w:p>
        </w:tc>
      </w:tr>
      <w:tr w14:paraId="37B30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  <w:vAlign w:val="top"/>
          </w:tcPr>
          <w:p w14:paraId="54824568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3500" w:type="dxa"/>
            <w:shd w:val="clear" w:color="auto" w:fill="auto"/>
            <w:vAlign w:val="top"/>
          </w:tcPr>
          <w:p w14:paraId="27DC259B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省级创新型中小企业荣誉资质</w:t>
            </w:r>
          </w:p>
        </w:tc>
        <w:tc>
          <w:tcPr>
            <w:tcW w:w="1188" w:type="dxa"/>
            <w:shd w:val="clear" w:color="auto" w:fill="auto"/>
            <w:vAlign w:val="top"/>
          </w:tcPr>
          <w:p w14:paraId="4294344E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5家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45D58444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5家</w:t>
            </w:r>
          </w:p>
        </w:tc>
        <w:tc>
          <w:tcPr>
            <w:tcW w:w="2089" w:type="dxa"/>
            <w:shd w:val="clear" w:color="auto" w:fill="auto"/>
            <w:vAlign w:val="top"/>
          </w:tcPr>
          <w:p w14:paraId="288CE70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完成</w:t>
            </w:r>
          </w:p>
        </w:tc>
      </w:tr>
      <w:tr w14:paraId="7BB97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  <w:vAlign w:val="top"/>
          </w:tcPr>
          <w:p w14:paraId="266776B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3500" w:type="dxa"/>
            <w:shd w:val="clear" w:color="auto" w:fill="auto"/>
            <w:vAlign w:val="top"/>
          </w:tcPr>
          <w:p w14:paraId="26CAAC31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工业投资增速（%）</w:t>
            </w:r>
          </w:p>
        </w:tc>
        <w:tc>
          <w:tcPr>
            <w:tcW w:w="1188" w:type="dxa"/>
            <w:shd w:val="clear" w:color="auto" w:fill="auto"/>
            <w:vAlign w:val="top"/>
          </w:tcPr>
          <w:p w14:paraId="58170CB1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67D16183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未完成</w:t>
            </w:r>
          </w:p>
        </w:tc>
        <w:tc>
          <w:tcPr>
            <w:tcW w:w="2089" w:type="dxa"/>
            <w:shd w:val="clear" w:color="auto" w:fill="auto"/>
            <w:vAlign w:val="top"/>
          </w:tcPr>
          <w:p w14:paraId="733E9D9A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未完成</w:t>
            </w:r>
          </w:p>
        </w:tc>
      </w:tr>
      <w:tr w14:paraId="2F25F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  <w:vAlign w:val="top"/>
          </w:tcPr>
          <w:p w14:paraId="4229728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3500" w:type="dxa"/>
            <w:shd w:val="clear" w:color="auto" w:fill="auto"/>
            <w:vAlign w:val="top"/>
          </w:tcPr>
          <w:p w14:paraId="4E2064AA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制作业投资增速（%）</w:t>
            </w:r>
          </w:p>
        </w:tc>
        <w:tc>
          <w:tcPr>
            <w:tcW w:w="1188" w:type="dxa"/>
            <w:shd w:val="clear" w:color="auto" w:fill="auto"/>
            <w:vAlign w:val="top"/>
          </w:tcPr>
          <w:p w14:paraId="760DB8B0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B9EFD1D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26.2</w:t>
            </w:r>
          </w:p>
        </w:tc>
        <w:tc>
          <w:tcPr>
            <w:tcW w:w="2089" w:type="dxa"/>
            <w:shd w:val="clear" w:color="auto" w:fill="auto"/>
            <w:vAlign w:val="top"/>
          </w:tcPr>
          <w:p w14:paraId="10FBCB1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完成</w:t>
            </w:r>
          </w:p>
        </w:tc>
      </w:tr>
      <w:tr w14:paraId="1B2BC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  <w:vAlign w:val="top"/>
          </w:tcPr>
          <w:p w14:paraId="0F34613E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3500" w:type="dxa"/>
            <w:shd w:val="clear" w:color="auto" w:fill="auto"/>
            <w:vAlign w:val="top"/>
          </w:tcPr>
          <w:p w14:paraId="06BA4BE3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cs="仿宋_GB2312"/>
                <w:szCs w:val="32"/>
                <w:vertAlign w:val="baseline"/>
                <w:lang w:val="en-US" w:eastAsia="zh-CN"/>
              </w:rPr>
              <w:t>工业技改投资增速（%）</w:t>
            </w:r>
          </w:p>
        </w:tc>
        <w:tc>
          <w:tcPr>
            <w:tcW w:w="1188" w:type="dxa"/>
            <w:shd w:val="clear" w:color="auto" w:fill="auto"/>
            <w:vAlign w:val="top"/>
          </w:tcPr>
          <w:p w14:paraId="5D3996E0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33EA36C0">
            <w:pPr>
              <w:spacing w:line="600" w:lineRule="exact"/>
              <w:jc w:val="center"/>
              <w:rPr>
                <w:rFonts w:hint="default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127.1</w:t>
            </w:r>
          </w:p>
        </w:tc>
        <w:tc>
          <w:tcPr>
            <w:tcW w:w="2089" w:type="dxa"/>
            <w:shd w:val="clear" w:color="auto" w:fill="auto"/>
            <w:vAlign w:val="top"/>
          </w:tcPr>
          <w:p w14:paraId="7087E15A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完成</w:t>
            </w:r>
          </w:p>
        </w:tc>
      </w:tr>
      <w:tr w14:paraId="5E49C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  <w:vAlign w:val="top"/>
          </w:tcPr>
          <w:p w14:paraId="26CB6649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500" w:type="dxa"/>
            <w:shd w:val="clear" w:color="auto" w:fill="auto"/>
            <w:vAlign w:val="top"/>
          </w:tcPr>
          <w:p w14:paraId="6A60D559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清洁生产企业</w:t>
            </w:r>
          </w:p>
        </w:tc>
        <w:tc>
          <w:tcPr>
            <w:tcW w:w="1188" w:type="dxa"/>
            <w:shd w:val="clear" w:color="auto" w:fill="auto"/>
            <w:vAlign w:val="top"/>
          </w:tcPr>
          <w:p w14:paraId="389D85C4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1家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167E023E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1家</w:t>
            </w:r>
          </w:p>
        </w:tc>
        <w:tc>
          <w:tcPr>
            <w:tcW w:w="2089" w:type="dxa"/>
            <w:shd w:val="clear" w:color="auto" w:fill="auto"/>
            <w:vAlign w:val="top"/>
          </w:tcPr>
          <w:p w14:paraId="5D949E09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完成</w:t>
            </w:r>
          </w:p>
        </w:tc>
      </w:tr>
      <w:tr w14:paraId="3D57F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  <w:vAlign w:val="top"/>
          </w:tcPr>
          <w:p w14:paraId="2C2579BD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500" w:type="dxa"/>
            <w:shd w:val="clear" w:color="auto" w:fill="auto"/>
            <w:vAlign w:val="top"/>
          </w:tcPr>
          <w:p w14:paraId="7D0306D0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拖欠中小企业帐款化解率</w:t>
            </w:r>
          </w:p>
        </w:tc>
        <w:tc>
          <w:tcPr>
            <w:tcW w:w="1188" w:type="dxa"/>
            <w:shd w:val="clear" w:color="auto" w:fill="auto"/>
            <w:vAlign w:val="top"/>
          </w:tcPr>
          <w:p w14:paraId="0ECF8375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100%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2421B2C2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109%</w:t>
            </w:r>
          </w:p>
        </w:tc>
        <w:tc>
          <w:tcPr>
            <w:tcW w:w="2089" w:type="dxa"/>
            <w:shd w:val="clear" w:color="auto" w:fill="auto"/>
            <w:vAlign w:val="top"/>
          </w:tcPr>
          <w:p w14:paraId="704A15C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完成</w:t>
            </w:r>
          </w:p>
        </w:tc>
      </w:tr>
      <w:tr w14:paraId="6AB29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  <w:vAlign w:val="top"/>
          </w:tcPr>
          <w:p w14:paraId="05B46262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500" w:type="dxa"/>
            <w:shd w:val="clear" w:color="auto" w:fill="auto"/>
            <w:vAlign w:val="top"/>
          </w:tcPr>
          <w:p w14:paraId="7B4F249C">
            <w:pPr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社会公众满意度</w:t>
            </w:r>
          </w:p>
        </w:tc>
        <w:tc>
          <w:tcPr>
            <w:tcW w:w="1188" w:type="dxa"/>
            <w:shd w:val="clear" w:color="auto" w:fill="auto"/>
            <w:vAlign w:val="top"/>
          </w:tcPr>
          <w:p w14:paraId="145B87D7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90%</w:t>
            </w:r>
          </w:p>
        </w:tc>
        <w:tc>
          <w:tcPr>
            <w:tcW w:w="1275" w:type="dxa"/>
            <w:shd w:val="clear" w:color="auto" w:fill="auto"/>
            <w:vAlign w:val="top"/>
          </w:tcPr>
          <w:p w14:paraId="63084541">
            <w:pPr>
              <w:spacing w:line="6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90%</w:t>
            </w:r>
          </w:p>
        </w:tc>
        <w:tc>
          <w:tcPr>
            <w:tcW w:w="2089" w:type="dxa"/>
            <w:shd w:val="clear" w:color="auto" w:fill="auto"/>
            <w:vAlign w:val="top"/>
          </w:tcPr>
          <w:p w14:paraId="4E51B28C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vertAlign w:val="baseline"/>
                <w:lang w:val="en-US" w:eastAsia="zh-CN"/>
              </w:rPr>
              <w:t>完成</w:t>
            </w:r>
          </w:p>
        </w:tc>
      </w:tr>
    </w:tbl>
    <w:p w14:paraId="6AEAF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24" w:firstLineChars="300"/>
        <w:textAlignment w:val="auto"/>
        <w:rPr>
          <w:rFonts w:hint="eastAsia" w:ascii="仿宋_GB2312" w:hAnsi="仿宋_GB2312" w:cs="仿宋_GB2312"/>
          <w:szCs w:val="32"/>
          <w:lang w:val="en-US" w:eastAsia="zh-CN" w:bidi="ar"/>
        </w:rPr>
      </w:pPr>
    </w:p>
    <w:p w14:paraId="0315F8C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200"/>
        <w:textAlignment w:val="auto"/>
        <w:rPr>
          <w:rFonts w:hint="default" w:ascii="仿宋_GB2312" w:hAnsi="仿宋_GB2312" w:cs="仿宋_GB231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szCs w:val="32"/>
          <w:lang w:bidi="ar"/>
        </w:rPr>
        <w:t>公平性。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指标总分5分，自评得分5分。</w:t>
      </w:r>
    </w:p>
    <w:p w14:paraId="230D09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200"/>
        <w:textAlignment w:val="auto"/>
        <w:rPr>
          <w:rFonts w:hint="default" w:ascii="仿宋_GB2312" w:hAnsi="仿宋_GB2312" w:cs="仿宋_GB231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szCs w:val="32"/>
          <w:lang w:val="en-US" w:eastAsia="zh-CN" w:bidi="ar"/>
        </w:rPr>
        <w:t>（1）群众信访办理情况。指标总分2分，自评得分2分，本部门建立了便利群众的意见反映渠道，当年度群众信访办理回复率100%。</w:t>
      </w:r>
    </w:p>
    <w:p w14:paraId="5CACB42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6" w:firstLineChars="200"/>
        <w:textAlignment w:val="auto"/>
        <w:rPr>
          <w:rFonts w:hint="eastAsia" w:ascii="方正小标宋简体" w:eastAsia="方正小标宋简体"/>
        </w:rPr>
      </w:pPr>
      <w:r>
        <w:rPr>
          <w:rFonts w:hint="eastAsia" w:ascii="仿宋_GB2312" w:hAnsi="仿宋_GB2312" w:cs="仿宋_GB2312"/>
          <w:szCs w:val="32"/>
          <w:lang w:val="en-US" w:eastAsia="zh-CN" w:bidi="ar"/>
        </w:rPr>
        <w:t>（2）公众或服务对象满意度。指标总分3分，自评得分3分。</w:t>
      </w:r>
    </w:p>
    <w:p w14:paraId="09EC7471">
      <w:pPr>
        <w:ind w:firstLine="616" w:firstLineChars="200"/>
        <w:rPr>
          <w:rFonts w:ascii="方正小标宋简体" w:eastAsia="方正小标宋简体"/>
        </w:rPr>
      </w:pPr>
      <w:r>
        <w:rPr>
          <w:rFonts w:hint="eastAsia" w:ascii="方正小标宋简体" w:eastAsia="方正小标宋简体"/>
        </w:rPr>
        <w:t>四、存在的问题、原因分析及改进措施</w:t>
      </w:r>
    </w:p>
    <w:p w14:paraId="65AD0D59">
      <w:pPr>
        <w:ind w:firstLine="616" w:firstLineChars="200"/>
        <w:rPr>
          <w:rFonts w:hint="eastAsia" w:ascii="仿宋_GB2312" w:hAnsi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>（1）存在问题。部门整体绩效管理意识薄弱，对绩效管理认知不足，绩效目标设置不够合理、不够完善。</w:t>
      </w:r>
    </w:p>
    <w:p w14:paraId="02E3217C">
      <w:pPr>
        <w:ind w:firstLine="616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lang w:val="en-US" w:eastAsia="zh-CN"/>
        </w:rPr>
        <w:t>改进意见。一是提高领导层对绩效管理工作的重视，要求组成对部门业务全面熟悉的人员组成绩效管理工作小组；二是重视绩效管理的学习，强化对部门整体</w:t>
      </w:r>
      <w:r>
        <w:rPr>
          <w:rFonts w:hint="eastAsia" w:ascii="仿宋_GB2312" w:hAnsi="仿宋_GB2312" w:cs="仿宋_GB2312"/>
          <w:lang w:val="en-US" w:eastAsia="zh-CN"/>
        </w:rPr>
        <w:t>支出</w:t>
      </w:r>
      <w:r>
        <w:rPr>
          <w:rFonts w:hint="eastAsia" w:ascii="仿宋_GB2312" w:hAnsi="仿宋_GB2312" w:eastAsia="仿宋_GB2312" w:cs="仿宋_GB2312"/>
          <w:lang w:val="en-US" w:eastAsia="zh-CN"/>
        </w:rPr>
        <w:t>的绩效管理工作。在进行下一年的绩效目标申报工作时，通过召开会议，结合预算年度本单位的工作计划、法定职能及上级工作任务要求，商讨确定部门总体绩效目标，并结合各股室预算年度计划实施的项目任务，最终汇编形成部门的整体绩效目标及各项绩效指标，进而提升绩效目标与部门发展的相关性、紧密性。</w:t>
      </w:r>
    </w:p>
    <w:p w14:paraId="5FAE01E0">
      <w:pPr>
        <w:ind w:firstLine="616" w:firstLineChars="200"/>
        <w:rPr>
          <w:rFonts w:ascii="方正小标宋简体" w:eastAsia="方正小标宋简体"/>
        </w:rPr>
      </w:pPr>
      <w:r>
        <w:rPr>
          <w:rFonts w:hint="eastAsia" w:ascii="方正小标宋简体" w:eastAsia="方正小标宋简体"/>
        </w:rPr>
        <w:t>五、其他需要说明的情况</w:t>
      </w:r>
    </w:p>
    <w:p w14:paraId="0F56844D">
      <w:pPr>
        <w:ind w:firstLine="616" w:firstLineChars="200"/>
      </w:pPr>
      <w:r>
        <w:rPr>
          <w:rFonts w:hint="eastAsia"/>
          <w:lang w:val="en-US" w:eastAsia="zh-CN"/>
        </w:rPr>
        <w:t>无。</w:t>
      </w:r>
    </w:p>
    <w:bookmarkEnd w:id="29"/>
    <w:p w14:paraId="668E3454"/>
    <w:sectPr>
      <w:headerReference r:id="rId3" w:type="default"/>
      <w:pgSz w:w="11906" w:h="16838"/>
      <w:pgMar w:top="1701" w:right="1588" w:bottom="1644" w:left="1701" w:header="851" w:footer="992" w:gutter="0"/>
      <w:cols w:space="425" w:num="1"/>
      <w:docGrid w:type="linesAndChars" w:linePitch="562" w:charSpace="-25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6BE7A20B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1ADFE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AA715C"/>
    <w:multiLevelType w:val="singleLevel"/>
    <w:tmpl w:val="9FAA715C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HorizontalSpacing w:val="154"/>
  <w:drawingGridVerticalSpacing w:val="28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4CD"/>
    <w:rsid w:val="00007A67"/>
    <w:rsid w:val="00022542"/>
    <w:rsid w:val="000258AA"/>
    <w:rsid w:val="000D1E99"/>
    <w:rsid w:val="0012286D"/>
    <w:rsid w:val="00132593"/>
    <w:rsid w:val="00145B76"/>
    <w:rsid w:val="00170E39"/>
    <w:rsid w:val="001834A3"/>
    <w:rsid w:val="00195019"/>
    <w:rsid w:val="001B111B"/>
    <w:rsid w:val="001B4856"/>
    <w:rsid w:val="001D33F5"/>
    <w:rsid w:val="001E1FDF"/>
    <w:rsid w:val="001F096B"/>
    <w:rsid w:val="0022603D"/>
    <w:rsid w:val="00235EDE"/>
    <w:rsid w:val="002A7F8F"/>
    <w:rsid w:val="002C4D92"/>
    <w:rsid w:val="002D7EDF"/>
    <w:rsid w:val="002E516E"/>
    <w:rsid w:val="002E5CB6"/>
    <w:rsid w:val="002F1311"/>
    <w:rsid w:val="00314DC0"/>
    <w:rsid w:val="00331AA1"/>
    <w:rsid w:val="00347820"/>
    <w:rsid w:val="00347914"/>
    <w:rsid w:val="00395359"/>
    <w:rsid w:val="003B7E05"/>
    <w:rsid w:val="004078CE"/>
    <w:rsid w:val="00410146"/>
    <w:rsid w:val="00413B2F"/>
    <w:rsid w:val="00421D22"/>
    <w:rsid w:val="0043014F"/>
    <w:rsid w:val="004531CF"/>
    <w:rsid w:val="004749F5"/>
    <w:rsid w:val="00486009"/>
    <w:rsid w:val="004B2E77"/>
    <w:rsid w:val="004D35D6"/>
    <w:rsid w:val="004D736E"/>
    <w:rsid w:val="00510F6B"/>
    <w:rsid w:val="00537F7E"/>
    <w:rsid w:val="00566EB1"/>
    <w:rsid w:val="00574D73"/>
    <w:rsid w:val="005B06B5"/>
    <w:rsid w:val="005B07DD"/>
    <w:rsid w:val="005B6EB7"/>
    <w:rsid w:val="005B7DAB"/>
    <w:rsid w:val="005C28C3"/>
    <w:rsid w:val="005D4C3F"/>
    <w:rsid w:val="005E6FE2"/>
    <w:rsid w:val="00606F30"/>
    <w:rsid w:val="00620700"/>
    <w:rsid w:val="0062264E"/>
    <w:rsid w:val="006265B7"/>
    <w:rsid w:val="006317C3"/>
    <w:rsid w:val="00665117"/>
    <w:rsid w:val="00675A9A"/>
    <w:rsid w:val="006B0F8D"/>
    <w:rsid w:val="006D4795"/>
    <w:rsid w:val="0074594E"/>
    <w:rsid w:val="00754811"/>
    <w:rsid w:val="007705F1"/>
    <w:rsid w:val="00781B6C"/>
    <w:rsid w:val="0078264B"/>
    <w:rsid w:val="007A7399"/>
    <w:rsid w:val="00804DCB"/>
    <w:rsid w:val="00816A2A"/>
    <w:rsid w:val="008428B2"/>
    <w:rsid w:val="0084340E"/>
    <w:rsid w:val="0086235A"/>
    <w:rsid w:val="00876A57"/>
    <w:rsid w:val="00880F2C"/>
    <w:rsid w:val="008B525A"/>
    <w:rsid w:val="008C30AE"/>
    <w:rsid w:val="008E75C3"/>
    <w:rsid w:val="0090022C"/>
    <w:rsid w:val="00982492"/>
    <w:rsid w:val="00A66BD5"/>
    <w:rsid w:val="00A813BE"/>
    <w:rsid w:val="00A8644D"/>
    <w:rsid w:val="00A91495"/>
    <w:rsid w:val="00AC5B70"/>
    <w:rsid w:val="00AF7207"/>
    <w:rsid w:val="00B05F42"/>
    <w:rsid w:val="00B12D08"/>
    <w:rsid w:val="00B32B1B"/>
    <w:rsid w:val="00B55F8F"/>
    <w:rsid w:val="00BA5204"/>
    <w:rsid w:val="00BF3EFE"/>
    <w:rsid w:val="00BF4502"/>
    <w:rsid w:val="00C005AF"/>
    <w:rsid w:val="00C10A76"/>
    <w:rsid w:val="00C112EA"/>
    <w:rsid w:val="00CD5F4B"/>
    <w:rsid w:val="00D24C0F"/>
    <w:rsid w:val="00D41CC7"/>
    <w:rsid w:val="00D45282"/>
    <w:rsid w:val="00D46575"/>
    <w:rsid w:val="00D67E60"/>
    <w:rsid w:val="00D73EB4"/>
    <w:rsid w:val="00D74AD4"/>
    <w:rsid w:val="00D82FAA"/>
    <w:rsid w:val="00DA04CD"/>
    <w:rsid w:val="00DA43A7"/>
    <w:rsid w:val="00DA5CEB"/>
    <w:rsid w:val="00DC37C4"/>
    <w:rsid w:val="00DC4199"/>
    <w:rsid w:val="00DE17BB"/>
    <w:rsid w:val="00DF7A41"/>
    <w:rsid w:val="00E03302"/>
    <w:rsid w:val="00E21FA4"/>
    <w:rsid w:val="00E23CAC"/>
    <w:rsid w:val="00E3272E"/>
    <w:rsid w:val="00E71A39"/>
    <w:rsid w:val="00E82D5B"/>
    <w:rsid w:val="00EA4E69"/>
    <w:rsid w:val="00EC4520"/>
    <w:rsid w:val="00ED3E32"/>
    <w:rsid w:val="00ED5CA9"/>
    <w:rsid w:val="00F04107"/>
    <w:rsid w:val="00F14CD1"/>
    <w:rsid w:val="00F43167"/>
    <w:rsid w:val="00F43EA4"/>
    <w:rsid w:val="00F57915"/>
    <w:rsid w:val="00FF40BF"/>
    <w:rsid w:val="033C702D"/>
    <w:rsid w:val="039B157F"/>
    <w:rsid w:val="046E3282"/>
    <w:rsid w:val="133F63CA"/>
    <w:rsid w:val="13CF028E"/>
    <w:rsid w:val="14873384"/>
    <w:rsid w:val="14EA425F"/>
    <w:rsid w:val="17FF6273"/>
    <w:rsid w:val="1AD87250"/>
    <w:rsid w:val="2A5A1E78"/>
    <w:rsid w:val="2A87085C"/>
    <w:rsid w:val="4AEE06AD"/>
    <w:rsid w:val="520A1748"/>
    <w:rsid w:val="532F6D06"/>
    <w:rsid w:val="57CA2524"/>
    <w:rsid w:val="5BAA6E72"/>
    <w:rsid w:val="60700A8D"/>
    <w:rsid w:val="6850240E"/>
    <w:rsid w:val="68681920"/>
    <w:rsid w:val="6AB35823"/>
    <w:rsid w:val="6AFA0765"/>
    <w:rsid w:val="774A1D6C"/>
    <w:rsid w:val="78E75809"/>
    <w:rsid w:val="7DDD36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1"/>
    <w:pPr>
      <w:spacing w:before="13" w:beforeLines="0" w:afterLines="0"/>
      <w:ind w:left="109"/>
    </w:pPr>
    <w:rPr>
      <w:rFonts w:hint="eastAsia" w:ascii="宋体" w:hAnsi="宋体" w:eastAsia="宋体"/>
      <w:sz w:val="28"/>
      <w:szCs w:val="24"/>
    </w:rPr>
  </w:style>
  <w:style w:type="paragraph" w:styleId="3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Body Text Indent 2"/>
    <w:basedOn w:val="1"/>
    <w:qFormat/>
    <w:uiPriority w:val="99"/>
    <w:pPr>
      <w:spacing w:line="480" w:lineRule="auto"/>
      <w:ind w:left="420" w:leftChars="2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_Style 5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customStyle="1" w:styleId="12">
    <w:name w:val="正文首行缩进 21"/>
    <w:basedOn w:val="1"/>
    <w:qFormat/>
    <w:uiPriority w:val="0"/>
    <w:pPr>
      <w:spacing w:line="360" w:lineRule="auto"/>
      <w:ind w:firstLine="420" w:firstLineChars="200"/>
      <w:textAlignment w:val="baseline"/>
    </w:pPr>
    <w:rPr>
      <w:rFonts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18</Pages>
  <Words>89</Words>
  <Characters>108</Characters>
  <Lines>6</Lines>
  <Paragraphs>1</Paragraphs>
  <TotalTime>3917</TotalTime>
  <ScaleCrop>false</ScaleCrop>
  <LinksUpToDate>false</LinksUpToDate>
  <CharactersWithSpaces>155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2020-07-14T08:14:00Z</dcterms:created>
  <dc:creator>苏锦雯</dc:creator>
  <cp:lastModifiedBy>敏</cp:lastModifiedBy>
  <cp:lastPrinted>2020-07-14T08:13:00Z</cp:lastPrinted>
  <dcterms:modified xsi:type="dcterms:W3CDTF">2026-05-08T01:23:04Z</dcterms:modified>
  <dc:title>附件2-1.市级财政资金绩效自评报告</dc:title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933F51B58BAC4864A02862C30AB52DFC_13</vt:lpwstr>
  </property>
  <property fmtid="{D5CDD505-2E9C-101B-9397-08002B2CF9AE}" pid="4" name="KSOTemplateDocerSaveRecord">
    <vt:lpwstr>eyJoZGlkIjoiZGU4MGU3MDYzNTYyYmQ0NjAyYmM0NDIxOGVkYjIyM2IiLCJ1c2VySWQiOiIzOTQxMTExMjEifQ==</vt:lpwstr>
  </property>
</Properties>
</file>