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C4DF8">
      <w:pPr>
        <w:spacing w:before="101" w:line="219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4"/>
          <w:sz w:val="31"/>
          <w:szCs w:val="31"/>
        </w:rPr>
        <w:t>附件2-3</w:t>
      </w:r>
    </w:p>
    <w:p w14:paraId="263C8662">
      <w:pPr>
        <w:pStyle w:val="2"/>
        <w:spacing w:line="277" w:lineRule="auto"/>
      </w:pPr>
    </w:p>
    <w:p w14:paraId="4B8E91F9">
      <w:pPr>
        <w:pStyle w:val="2"/>
        <w:spacing w:line="277" w:lineRule="auto"/>
      </w:pPr>
    </w:p>
    <w:p w14:paraId="68CDF70D">
      <w:pPr>
        <w:pStyle w:val="2"/>
        <w:spacing w:line="277" w:lineRule="auto"/>
      </w:pPr>
    </w:p>
    <w:p w14:paraId="66EF45E8">
      <w:pPr>
        <w:spacing w:before="143" w:line="218" w:lineRule="auto"/>
        <w:ind w:left="142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县级部门整体支出绩效自评报告</w:t>
      </w:r>
    </w:p>
    <w:p w14:paraId="499FDC95">
      <w:pPr>
        <w:pStyle w:val="2"/>
        <w:spacing w:line="247" w:lineRule="auto"/>
      </w:pPr>
    </w:p>
    <w:p w14:paraId="5400D06A">
      <w:pPr>
        <w:pStyle w:val="2"/>
        <w:spacing w:line="247" w:lineRule="auto"/>
      </w:pPr>
    </w:p>
    <w:p w14:paraId="676BF55C">
      <w:pPr>
        <w:pStyle w:val="2"/>
        <w:spacing w:line="247" w:lineRule="auto"/>
      </w:pPr>
    </w:p>
    <w:p w14:paraId="4BE1B441">
      <w:pPr>
        <w:pStyle w:val="2"/>
        <w:spacing w:line="247" w:lineRule="auto"/>
      </w:pPr>
    </w:p>
    <w:p w14:paraId="22603A48">
      <w:pPr>
        <w:pStyle w:val="2"/>
        <w:spacing w:line="247" w:lineRule="auto"/>
      </w:pPr>
    </w:p>
    <w:p w14:paraId="117D5D25">
      <w:pPr>
        <w:pStyle w:val="2"/>
        <w:spacing w:line="247" w:lineRule="auto"/>
      </w:pPr>
    </w:p>
    <w:p w14:paraId="63CF16A8">
      <w:pPr>
        <w:pStyle w:val="2"/>
        <w:spacing w:line="248" w:lineRule="auto"/>
      </w:pPr>
    </w:p>
    <w:p w14:paraId="17B3040F">
      <w:pPr>
        <w:pStyle w:val="2"/>
        <w:spacing w:line="248" w:lineRule="auto"/>
      </w:pPr>
    </w:p>
    <w:p w14:paraId="67E8F5BC">
      <w:pPr>
        <w:pStyle w:val="2"/>
        <w:spacing w:line="248" w:lineRule="auto"/>
      </w:pPr>
    </w:p>
    <w:p w14:paraId="0FBB1AEE">
      <w:pPr>
        <w:pStyle w:val="2"/>
        <w:spacing w:line="248" w:lineRule="auto"/>
      </w:pPr>
    </w:p>
    <w:p w14:paraId="15750053">
      <w:pPr>
        <w:pStyle w:val="2"/>
        <w:spacing w:line="248" w:lineRule="auto"/>
      </w:pPr>
    </w:p>
    <w:p w14:paraId="475495AF">
      <w:pPr>
        <w:spacing w:before="101" w:line="221" w:lineRule="auto"/>
        <w:ind w:left="1900"/>
        <w:rPr>
          <w:rFonts w:hint="eastAsia" w:ascii="仿宋" w:hAnsi="仿宋" w:eastAsia="仿宋" w:cs="仿宋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spacing w:val="24"/>
          <w:sz w:val="31"/>
          <w:szCs w:val="31"/>
        </w:rPr>
        <w:t>部门名称</w:t>
      </w:r>
      <w:r>
        <w:rPr>
          <w:rFonts w:hint="eastAsia" w:ascii="仿宋" w:hAnsi="仿宋" w:eastAsia="仿宋" w:cs="仿宋"/>
          <w:spacing w:val="24"/>
          <w:sz w:val="31"/>
          <w:szCs w:val="31"/>
          <w:lang w:eastAsia="zh-CN"/>
        </w:rPr>
        <w:t>（</w:t>
      </w:r>
      <w:r>
        <w:rPr>
          <w:rFonts w:ascii="仿宋" w:hAnsi="仿宋" w:eastAsia="仿宋" w:cs="仿宋"/>
          <w:spacing w:val="24"/>
          <w:sz w:val="31"/>
          <w:szCs w:val="31"/>
        </w:rPr>
        <w:t>公章</w:t>
      </w:r>
      <w:r>
        <w:rPr>
          <w:rFonts w:hint="eastAsia" w:ascii="仿宋" w:hAnsi="仿宋" w:eastAsia="仿宋" w:cs="仿宋"/>
          <w:spacing w:val="24"/>
          <w:sz w:val="31"/>
          <w:szCs w:val="31"/>
          <w:lang w:eastAsia="zh-CN"/>
        </w:rPr>
        <w:t>）：</w:t>
      </w:r>
      <w:r>
        <w:rPr>
          <w:rFonts w:ascii="仿宋" w:hAnsi="仿宋" w:eastAsia="仿宋" w:cs="仿宋"/>
          <w:spacing w:val="24"/>
          <w:sz w:val="31"/>
          <w:szCs w:val="31"/>
        </w:rPr>
        <w:t>阳西县</w:t>
      </w:r>
      <w:r>
        <w:rPr>
          <w:rFonts w:hint="eastAsia" w:ascii="仿宋" w:hAnsi="仿宋" w:eastAsia="仿宋" w:cs="仿宋"/>
          <w:spacing w:val="24"/>
          <w:sz w:val="31"/>
          <w:szCs w:val="31"/>
          <w:lang w:eastAsia="zh-CN"/>
        </w:rPr>
        <w:t>档案馆</w:t>
      </w:r>
    </w:p>
    <w:p w14:paraId="32565DF9">
      <w:pPr>
        <w:spacing w:before="252" w:line="222" w:lineRule="auto"/>
        <w:ind w:left="1900"/>
        <w:rPr>
          <w:rFonts w:hint="eastAsia" w:ascii="仿宋" w:hAnsi="仿宋" w:eastAsia="仿宋" w:cs="仿宋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9"/>
          <w:sz w:val="31"/>
          <w:szCs w:val="31"/>
        </w:rPr>
        <w:t>填报人姓名：</w:t>
      </w:r>
      <w:r>
        <w:rPr>
          <w:rFonts w:hint="eastAsia" w:ascii="仿宋" w:hAnsi="仿宋" w:eastAsia="仿宋" w:cs="仿宋"/>
          <w:spacing w:val="9"/>
          <w:sz w:val="31"/>
          <w:szCs w:val="31"/>
          <w:lang w:eastAsia="zh-CN"/>
        </w:rPr>
        <w:t>林丽娜</w:t>
      </w:r>
    </w:p>
    <w:p w14:paraId="31D67AAB">
      <w:pPr>
        <w:spacing w:before="248" w:line="223" w:lineRule="auto"/>
        <w:ind w:left="1900"/>
        <w:rPr>
          <w:rFonts w:hint="default" w:ascii="仿宋" w:hAnsi="仿宋" w:eastAsia="仿宋" w:cs="仿宋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spacing w:val="3"/>
          <w:sz w:val="31"/>
          <w:szCs w:val="31"/>
        </w:rPr>
        <w:t>联系电话：555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1562</w:t>
      </w:r>
    </w:p>
    <w:p w14:paraId="7B80B2AE">
      <w:pPr>
        <w:spacing w:before="234" w:line="222" w:lineRule="auto"/>
        <w:ind w:left="19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9"/>
          <w:sz w:val="31"/>
          <w:szCs w:val="31"/>
        </w:rPr>
        <w:t>填报日期：202</w:t>
      </w:r>
      <w:r>
        <w:rPr>
          <w:rFonts w:hint="eastAsia" w:ascii="仿宋" w:hAnsi="仿宋" w:eastAsia="仿宋" w:cs="仿宋"/>
          <w:spacing w:val="29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29"/>
          <w:sz w:val="31"/>
          <w:szCs w:val="31"/>
        </w:rPr>
        <w:t>年</w:t>
      </w:r>
      <w:r>
        <w:rPr>
          <w:rFonts w:hint="eastAsia" w:ascii="仿宋" w:hAnsi="仿宋" w:eastAsia="仿宋" w:cs="仿宋"/>
          <w:spacing w:val="29"/>
          <w:sz w:val="31"/>
          <w:szCs w:val="31"/>
          <w:lang w:val="en-US" w:eastAsia="zh-CN"/>
        </w:rPr>
        <w:t>4</w:t>
      </w:r>
      <w:r>
        <w:rPr>
          <w:rFonts w:ascii="仿宋" w:hAnsi="仿宋" w:eastAsia="仿宋" w:cs="仿宋"/>
          <w:spacing w:val="29"/>
          <w:sz w:val="31"/>
          <w:szCs w:val="31"/>
        </w:rPr>
        <w:t>月</w:t>
      </w:r>
      <w:bookmarkStart w:id="1" w:name="_GoBack"/>
      <w:r>
        <w:rPr>
          <w:rFonts w:hint="eastAsia" w:ascii="仿宋" w:hAnsi="仿宋" w:eastAsia="仿宋" w:cs="仿宋"/>
          <w:spacing w:val="29"/>
          <w:sz w:val="31"/>
          <w:szCs w:val="31"/>
          <w:lang w:val="en-US" w:eastAsia="zh-CN"/>
        </w:rPr>
        <w:t>17</w:t>
      </w:r>
      <w:bookmarkEnd w:id="1"/>
      <w:r>
        <w:rPr>
          <w:rFonts w:ascii="仿宋" w:hAnsi="仿宋" w:eastAsia="仿宋" w:cs="仿宋"/>
          <w:spacing w:val="29"/>
          <w:sz w:val="31"/>
          <w:szCs w:val="31"/>
        </w:rPr>
        <w:t>日</w:t>
      </w:r>
    </w:p>
    <w:p w14:paraId="3120F92E">
      <w:pPr>
        <w:pStyle w:val="2"/>
        <w:spacing w:line="250" w:lineRule="auto"/>
      </w:pPr>
    </w:p>
    <w:p w14:paraId="63AF8BDD">
      <w:pPr>
        <w:pStyle w:val="2"/>
        <w:spacing w:line="250" w:lineRule="auto"/>
      </w:pPr>
    </w:p>
    <w:p w14:paraId="63552BAC">
      <w:pPr>
        <w:pStyle w:val="2"/>
        <w:spacing w:line="250" w:lineRule="auto"/>
      </w:pPr>
    </w:p>
    <w:p w14:paraId="20462BFC">
      <w:pPr>
        <w:pStyle w:val="2"/>
        <w:spacing w:line="250" w:lineRule="auto"/>
      </w:pPr>
    </w:p>
    <w:p w14:paraId="31351A04">
      <w:pPr>
        <w:pStyle w:val="2"/>
        <w:spacing w:line="250" w:lineRule="auto"/>
      </w:pPr>
    </w:p>
    <w:p w14:paraId="6980D487">
      <w:pPr>
        <w:pStyle w:val="2"/>
        <w:spacing w:line="250" w:lineRule="auto"/>
      </w:pPr>
    </w:p>
    <w:p w14:paraId="43B2481A">
      <w:pPr>
        <w:pStyle w:val="2"/>
        <w:spacing w:line="250" w:lineRule="auto"/>
      </w:pPr>
    </w:p>
    <w:p w14:paraId="0D3EB0E2">
      <w:pPr>
        <w:pStyle w:val="2"/>
        <w:spacing w:line="250" w:lineRule="auto"/>
      </w:pPr>
    </w:p>
    <w:p w14:paraId="7BD5FDB0">
      <w:pPr>
        <w:pStyle w:val="2"/>
        <w:spacing w:line="250" w:lineRule="auto"/>
      </w:pPr>
    </w:p>
    <w:p w14:paraId="601C0608">
      <w:pPr>
        <w:pStyle w:val="2"/>
        <w:spacing w:line="251" w:lineRule="auto"/>
      </w:pPr>
    </w:p>
    <w:p w14:paraId="2118D590">
      <w:pPr>
        <w:pStyle w:val="2"/>
        <w:spacing w:line="251" w:lineRule="auto"/>
      </w:pPr>
    </w:p>
    <w:p w14:paraId="009DF872">
      <w:pPr>
        <w:pStyle w:val="2"/>
        <w:spacing w:line="251" w:lineRule="auto"/>
      </w:pPr>
    </w:p>
    <w:p w14:paraId="0303C9EC">
      <w:pPr>
        <w:pStyle w:val="2"/>
        <w:spacing w:line="251" w:lineRule="auto"/>
      </w:pPr>
    </w:p>
    <w:p w14:paraId="56B39738">
      <w:pPr>
        <w:spacing w:before="100" w:line="222" w:lineRule="auto"/>
        <w:ind w:left="33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阳西县财政局制</w:t>
      </w:r>
    </w:p>
    <w:p w14:paraId="34654AE2">
      <w:pPr>
        <w:spacing w:before="250" w:line="222" w:lineRule="auto"/>
        <w:ind w:left="39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202</w:t>
      </w:r>
      <w:r>
        <w:rPr>
          <w:rFonts w:hint="eastAsia" w:ascii="仿宋" w:hAnsi="仿宋" w:eastAsia="仿宋" w:cs="仿宋"/>
          <w:spacing w:val="22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22"/>
          <w:sz w:val="31"/>
          <w:szCs w:val="31"/>
        </w:rPr>
        <w:t>年</w:t>
      </w:r>
    </w:p>
    <w:p w14:paraId="72159293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pgSz w:w="11900" w:h="16830"/>
          <w:pgMar w:top="1430" w:right="1785" w:bottom="0" w:left="1529" w:header="0" w:footer="0" w:gutter="0"/>
          <w:cols w:space="720" w:num="1"/>
        </w:sectPr>
      </w:pPr>
    </w:p>
    <w:p w14:paraId="0C1831CC">
      <w:pPr>
        <w:spacing w:before="184" w:line="308" w:lineRule="auto"/>
        <w:ind w:right="121" w:firstLine="610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一、部门基本情况</w:t>
      </w:r>
    </w:p>
    <w:p w14:paraId="79BA2537">
      <w:pPr>
        <w:spacing w:before="184" w:line="308" w:lineRule="auto"/>
        <w:ind w:right="121" w:firstLine="610" w:firstLineChars="200"/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（一）部门整体概况。</w:t>
      </w:r>
    </w:p>
    <w:p w14:paraId="0DA96D3F">
      <w:pPr>
        <w:spacing w:before="184" w:line="308" w:lineRule="auto"/>
        <w:ind w:right="121" w:firstLine="608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县档案馆是县委直属的正科级事业单位，执行政府会计制度，为一级预算单位。县档案馆内设综合股和档案业务管理股等2个股室。核定机关事业编制共8名，截至2025年底，实际在职在岗机关事业编制8人，离退休人员5人。</w:t>
      </w:r>
    </w:p>
    <w:p w14:paraId="4197E7CB">
      <w:pPr>
        <w:spacing w:before="184" w:line="308" w:lineRule="auto"/>
        <w:ind w:right="121" w:firstLine="610" w:firstLineChars="200"/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（二）年度总体工作和重点工作任务。</w:t>
      </w:r>
    </w:p>
    <w:p w14:paraId="0E034208">
      <w:pPr>
        <w:spacing w:before="184" w:line="308" w:lineRule="auto"/>
        <w:ind w:right="121" w:firstLine="608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县档案馆2025年度总体工作：深入学习贯彻习近平总书记关于档案工作的重要批示精神，全面落实上级有关工作部署，牢记为党管档、为国守史、为民服务重要职责，不断加强档案资源建设、信息化建设和服务利用工作，奋力开创档案工作新局面。</w:t>
      </w:r>
    </w:p>
    <w:p w14:paraId="0BAFB3B6">
      <w:pPr>
        <w:spacing w:before="184" w:line="308" w:lineRule="auto"/>
        <w:ind w:right="121" w:firstLine="608" w:firstLineChars="200"/>
        <w:rPr>
          <w:rFonts w:hint="default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县档案馆2025年重点工作任务：1.强化理论武装，加强阵地建设。2.抓好巡察整改工作，巩固巡察整改成果。3.认真开展业务工作，规范档案管理。4.坚持多措并举，提高档案管理水平。5.坚持党建引领</w:t>
      </w:r>
      <w:r>
        <w:rPr>
          <w:rFonts w:hint="default" w:ascii="仿宋" w:hAnsi="仿宋" w:eastAsia="仿宋" w:cs="仿宋"/>
          <w:spacing w:val="2"/>
          <w:sz w:val="30"/>
          <w:szCs w:val="30"/>
          <w:lang w:val="en-US" w:eastAsia="zh-CN"/>
        </w:rPr>
        <w:t>，</w:t>
      </w: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营造良好政治生态。6.</w:t>
      </w:r>
      <w:r>
        <w:rPr>
          <w:rFonts w:hint="default" w:ascii="仿宋" w:hAnsi="仿宋" w:eastAsia="仿宋" w:cs="仿宋"/>
          <w:spacing w:val="2"/>
          <w:sz w:val="30"/>
          <w:szCs w:val="30"/>
          <w:lang w:val="en-US" w:eastAsia="zh-CN"/>
        </w:rPr>
        <w:t>积极完成</w:t>
      </w: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县委、县政府</w:t>
      </w:r>
      <w:r>
        <w:rPr>
          <w:rFonts w:hint="default" w:ascii="仿宋" w:hAnsi="仿宋" w:eastAsia="仿宋" w:cs="仿宋"/>
          <w:spacing w:val="2"/>
          <w:sz w:val="30"/>
          <w:szCs w:val="30"/>
          <w:lang w:val="en-US" w:eastAsia="zh-CN"/>
        </w:rPr>
        <w:t>交办的其他工作任务。</w:t>
      </w:r>
    </w:p>
    <w:p w14:paraId="078CD33B">
      <w:pPr>
        <w:spacing w:before="184" w:line="308" w:lineRule="auto"/>
        <w:ind w:right="121" w:firstLine="610" w:firstLineChars="200"/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（三）部门整体支出情况。</w:t>
      </w:r>
    </w:p>
    <w:p w14:paraId="52C6BA99">
      <w:pPr>
        <w:spacing w:before="184" w:line="308" w:lineRule="auto"/>
        <w:ind w:right="121" w:firstLine="608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县档案馆2025年县财政批复部门预算205.6万元，实际支出219.7万元，其中：基本支出决算数为189.3万元，项目支出决算数为24.6万元。</w:t>
      </w:r>
    </w:p>
    <w:p w14:paraId="36967D29">
      <w:pPr>
        <w:spacing w:before="184" w:line="308" w:lineRule="auto"/>
        <w:ind w:right="121" w:firstLine="608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县档案馆2025年日常公用经费年初预算数为19.2万元，决算数为16.57万元。“三公”经费实际支出0.57万元。</w:t>
      </w:r>
    </w:p>
    <w:p w14:paraId="7BD25CDF">
      <w:pPr>
        <w:spacing w:before="184" w:line="308" w:lineRule="auto"/>
        <w:ind w:right="121" w:firstLine="610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（四）部门整体支出绩效目标。</w:t>
      </w:r>
    </w:p>
    <w:p w14:paraId="1166DED8">
      <w:pPr>
        <w:spacing w:before="184" w:line="308" w:lineRule="auto"/>
        <w:ind w:right="121" w:firstLine="608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县档案馆2025年整体绩效目标：（1）贯彻执行党和上级档案事业的方针政策以及法律法规，落实本县档案事业发展规划、计划和相关政策法规。（2）接收和保管县级党政机关、人民团体、国有企业事业单位和其他组织等本馆保管范围内对党、国家和社会有保存价值的各类档案（包括电子档案等），以及政府公开信息。（3）研究制定本馆进馆档案的接收标准和规范，负责县直单位进馆档案整理质量检查和移交工作，负责名人档案的收集、管理工作，制定收集计划并组织实施，拟订入库范围和对象。负责组织征集整理散存在国内外有重要价值的档案资料；利用档案为县委和县政府决策服务。配合县委和县政府重点活动，开展档案展览、陈列、编纂出版工作。组织县直单位依法依规开展馆藏档案解密和开放鉴定工作。依法依规开放档案信息资源；（4）维护重要档案安全，承担重要档案异地异质备份工作。会同有关单位组织实施县直单位电子档案移交系统或数据接口部署，承担本馆档案信息化建设、馆藏电子档案的管理和备份、馆藏档案和资料数字化等工作。承担本馆数字档案馆、网络安全系统、计算机系统、办公自动化系统的建设、运行、管理和维护等工作。（5）负责全县重要党务政务活动、重要会议、重大事件、突发事件的拍摄，负责上述活动形成的声像档案的收集、整理、保管和提供利用工作。（6）承办县委、县政府和上级档案管理部门交办的其他事项。</w:t>
      </w:r>
    </w:p>
    <w:p w14:paraId="10F3BC03">
      <w:pPr>
        <w:spacing w:before="184" w:line="308" w:lineRule="auto"/>
        <w:ind w:right="121" w:firstLine="608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部门重点支出项目绩效目标：</w:t>
      </w:r>
    </w:p>
    <w:p w14:paraId="1D71DFAD">
      <w:pPr>
        <w:spacing w:line="46" w:lineRule="exact"/>
      </w:pPr>
    </w:p>
    <w:tbl>
      <w:tblPr>
        <w:tblStyle w:val="6"/>
        <w:tblW w:w="858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828"/>
        <w:gridCol w:w="2179"/>
        <w:gridCol w:w="2496"/>
        <w:gridCol w:w="1344"/>
      </w:tblGrid>
      <w:tr w14:paraId="4E147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34" w:type="dxa"/>
            <w:vAlign w:val="top"/>
          </w:tcPr>
          <w:p w14:paraId="1D0F1997">
            <w:pPr>
              <w:pStyle w:val="5"/>
              <w:spacing w:before="181" w:line="221" w:lineRule="auto"/>
              <w:ind w:left="157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序号</w:t>
            </w:r>
          </w:p>
        </w:tc>
        <w:tc>
          <w:tcPr>
            <w:tcW w:w="1828" w:type="dxa"/>
            <w:vAlign w:val="top"/>
          </w:tcPr>
          <w:p w14:paraId="4977B488">
            <w:pPr>
              <w:pStyle w:val="5"/>
              <w:spacing w:before="181" w:line="220" w:lineRule="auto"/>
              <w:ind w:left="103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重点支出项目名称</w:t>
            </w:r>
          </w:p>
        </w:tc>
        <w:tc>
          <w:tcPr>
            <w:tcW w:w="2179" w:type="dxa"/>
            <w:vAlign w:val="top"/>
          </w:tcPr>
          <w:p w14:paraId="2AD00FD6">
            <w:pPr>
              <w:pStyle w:val="5"/>
              <w:spacing w:before="180" w:line="219" w:lineRule="auto"/>
              <w:ind w:left="155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</w:rPr>
              <w:t>产出指标及目标值</w:t>
            </w:r>
          </w:p>
        </w:tc>
        <w:tc>
          <w:tcPr>
            <w:tcW w:w="2496" w:type="dxa"/>
            <w:vAlign w:val="top"/>
          </w:tcPr>
          <w:p w14:paraId="472F1A3D">
            <w:pPr>
              <w:pStyle w:val="5"/>
              <w:spacing w:before="180" w:line="219" w:lineRule="auto"/>
              <w:ind w:left="577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效果指标及目标值</w:t>
            </w:r>
          </w:p>
        </w:tc>
        <w:tc>
          <w:tcPr>
            <w:tcW w:w="1344" w:type="dxa"/>
            <w:vAlign w:val="top"/>
          </w:tcPr>
          <w:p w14:paraId="3981FCE0">
            <w:pPr>
              <w:pStyle w:val="5"/>
              <w:spacing w:before="180" w:line="219" w:lineRule="auto"/>
              <w:ind w:left="67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</w:rPr>
              <w:t>完成值</w:t>
            </w:r>
          </w:p>
        </w:tc>
      </w:tr>
      <w:tr w14:paraId="279F0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734" w:type="dxa"/>
            <w:vAlign w:val="top"/>
          </w:tcPr>
          <w:p w14:paraId="11083C83">
            <w:pPr>
              <w:pStyle w:val="5"/>
              <w:spacing w:before="65" w:line="241" w:lineRule="auto"/>
              <w:ind w:firstLine="200" w:firstLineChars="100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4488499">
            <w:pPr>
              <w:pStyle w:val="5"/>
              <w:spacing w:before="65" w:line="241" w:lineRule="auto"/>
              <w:ind w:firstLine="200" w:firstLineChars="10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1828" w:type="dxa"/>
            <w:vAlign w:val="top"/>
          </w:tcPr>
          <w:p w14:paraId="6BB4EBC3">
            <w:pPr>
              <w:pStyle w:val="5"/>
              <w:spacing w:before="288" w:line="363" w:lineRule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0"/>
                <w:lang w:eastAsia="zh-CN"/>
              </w:rPr>
              <w:t>保安经费</w:t>
            </w:r>
          </w:p>
        </w:tc>
        <w:tc>
          <w:tcPr>
            <w:tcW w:w="2179" w:type="dxa"/>
            <w:vAlign w:val="top"/>
          </w:tcPr>
          <w:p w14:paraId="38C6FFB6">
            <w:pPr>
              <w:pStyle w:val="5"/>
              <w:spacing w:before="112" w:line="219" w:lineRule="auto"/>
              <w:ind w:left="83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3"/>
                <w:lang w:val="en-US" w:eastAsia="zh-CN"/>
              </w:rPr>
              <w:t>24小时值班制，保证档案安全；聘请三名保安人员。</w:t>
            </w:r>
          </w:p>
        </w:tc>
        <w:tc>
          <w:tcPr>
            <w:tcW w:w="2496" w:type="dxa"/>
            <w:vAlign w:val="top"/>
          </w:tcPr>
          <w:p w14:paraId="408DC4DC">
            <w:pPr>
              <w:pStyle w:val="5"/>
              <w:spacing w:before="65" w:line="334" w:lineRule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lang w:eastAsia="zh-CN"/>
              </w:rPr>
              <w:t>保证档案馆大楼</w:t>
            </w:r>
            <w:r>
              <w:rPr>
                <w:rFonts w:hint="eastAsia" w:ascii="仿宋" w:hAnsi="仿宋" w:eastAsia="仿宋" w:cs="仿宋"/>
                <w:spacing w:val="-5"/>
                <w:lang w:val="en-US" w:eastAsia="zh-CN"/>
              </w:rPr>
              <w:t>24小时有人看守以及3个保安工资正常发放。</w:t>
            </w:r>
          </w:p>
        </w:tc>
        <w:tc>
          <w:tcPr>
            <w:tcW w:w="1344" w:type="dxa"/>
            <w:vAlign w:val="top"/>
          </w:tcPr>
          <w:p w14:paraId="2980ACFE">
            <w:pPr>
              <w:spacing w:line="251" w:lineRule="auto"/>
              <w:rPr>
                <w:rFonts w:hint="eastAsia" w:ascii="仿宋" w:hAnsi="仿宋" w:eastAsia="仿宋" w:cs="仿宋"/>
                <w:sz w:val="21"/>
              </w:rPr>
            </w:pPr>
          </w:p>
          <w:p w14:paraId="0DC057AA">
            <w:pPr>
              <w:pStyle w:val="5"/>
              <w:spacing w:before="65" w:line="335" w:lineRule="auto"/>
              <w:ind w:left="167" w:right="65" w:hanging="4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  <w:lang w:val="en-US" w:eastAsia="zh-CN"/>
              </w:rPr>
              <w:t>100%完成</w:t>
            </w:r>
            <w:r>
              <w:rPr>
                <w:rFonts w:hint="eastAsia" w:ascii="仿宋" w:hAnsi="仿宋" w:eastAsia="仿宋" w:cs="仿宋"/>
                <w:spacing w:val="-1"/>
              </w:rPr>
              <w:t>。</w:t>
            </w:r>
          </w:p>
        </w:tc>
      </w:tr>
      <w:tr w14:paraId="1AF2A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34" w:type="dxa"/>
            <w:vAlign w:val="top"/>
          </w:tcPr>
          <w:p w14:paraId="7BD24E50">
            <w:pPr>
              <w:spacing w:line="277" w:lineRule="auto"/>
              <w:rPr>
                <w:rFonts w:hint="eastAsia" w:ascii="仿宋" w:hAnsi="仿宋" w:eastAsia="仿宋" w:cs="仿宋"/>
                <w:sz w:val="21"/>
              </w:rPr>
            </w:pPr>
          </w:p>
          <w:p w14:paraId="777F9E4D">
            <w:pPr>
              <w:pStyle w:val="5"/>
              <w:spacing w:before="65" w:line="241" w:lineRule="auto"/>
              <w:ind w:firstLine="200" w:firstLineChars="10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</w:t>
            </w:r>
          </w:p>
        </w:tc>
        <w:tc>
          <w:tcPr>
            <w:tcW w:w="1828" w:type="dxa"/>
            <w:vAlign w:val="top"/>
          </w:tcPr>
          <w:p w14:paraId="3F8254D2">
            <w:pPr>
              <w:spacing w:line="272" w:lineRule="auto"/>
              <w:rPr>
                <w:rFonts w:hint="eastAsia" w:ascii="仿宋" w:hAnsi="仿宋" w:eastAsia="仿宋" w:cs="仿宋"/>
                <w:sz w:val="21"/>
              </w:rPr>
            </w:pPr>
          </w:p>
          <w:p w14:paraId="2A757259">
            <w:pPr>
              <w:pStyle w:val="5"/>
              <w:spacing w:before="65" w:line="219" w:lineRule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  <w:lang w:eastAsia="zh-CN"/>
              </w:rPr>
              <w:t>档案事业</w:t>
            </w:r>
            <w:r>
              <w:rPr>
                <w:rFonts w:hint="eastAsia" w:ascii="仿宋" w:hAnsi="仿宋" w:eastAsia="仿宋" w:cs="仿宋"/>
                <w:spacing w:val="1"/>
              </w:rPr>
              <w:t>经费</w:t>
            </w:r>
          </w:p>
        </w:tc>
        <w:tc>
          <w:tcPr>
            <w:tcW w:w="2179" w:type="dxa"/>
            <w:vAlign w:val="top"/>
          </w:tcPr>
          <w:p w14:paraId="21D06FB7">
            <w:pPr>
              <w:spacing w:line="257" w:lineRule="auto"/>
              <w:rPr>
                <w:rFonts w:hint="eastAsia" w:ascii="仿宋" w:hAnsi="仿宋" w:eastAsia="仿宋" w:cs="仿宋"/>
                <w:sz w:val="21"/>
              </w:rPr>
            </w:pPr>
          </w:p>
          <w:p w14:paraId="0683A2E6">
            <w:pPr>
              <w:pStyle w:val="5"/>
              <w:spacing w:before="65" w:line="334" w:lineRule="auto"/>
              <w:ind w:right="45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</w:rPr>
              <w:t>共</w:t>
            </w:r>
            <w:r>
              <w:rPr>
                <w:rFonts w:hint="eastAsia" w:ascii="仿宋" w:hAnsi="仿宋" w:eastAsia="仿宋" w:cs="仿宋"/>
                <w:spacing w:val="5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pacing w:val="5"/>
              </w:rPr>
              <w:t>万元</w:t>
            </w:r>
            <w:r>
              <w:rPr>
                <w:rFonts w:hint="eastAsia" w:ascii="仿宋" w:hAnsi="仿宋" w:eastAsia="仿宋" w:cs="仿宋"/>
                <w:spacing w:val="5"/>
                <w:lang w:eastAsia="zh-CN"/>
              </w:rPr>
              <w:t>。</w:t>
            </w:r>
          </w:p>
        </w:tc>
        <w:tc>
          <w:tcPr>
            <w:tcW w:w="2496" w:type="dxa"/>
            <w:vAlign w:val="top"/>
          </w:tcPr>
          <w:p w14:paraId="21DB6BBF">
            <w:pPr>
              <w:pStyle w:val="5"/>
              <w:spacing w:line="220" w:lineRule="auto"/>
              <w:ind w:left="74"/>
              <w:rPr>
                <w:rFonts w:hint="eastAsia" w:ascii="仿宋" w:hAnsi="仿宋" w:eastAsia="仿宋" w:cs="仿宋"/>
                <w:lang w:eastAsia="zh-CN"/>
              </w:rPr>
            </w:pPr>
          </w:p>
          <w:p w14:paraId="4F609699">
            <w:pPr>
              <w:pStyle w:val="5"/>
              <w:spacing w:line="220" w:lineRule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做好档案的接收、利用和保管，维护档案的安全。</w:t>
            </w:r>
          </w:p>
        </w:tc>
        <w:tc>
          <w:tcPr>
            <w:tcW w:w="1344" w:type="dxa"/>
            <w:vAlign w:val="top"/>
          </w:tcPr>
          <w:p w14:paraId="01A769D6">
            <w:pPr>
              <w:spacing w:line="287" w:lineRule="auto"/>
              <w:rPr>
                <w:rFonts w:hint="eastAsia" w:ascii="仿宋" w:hAnsi="仿宋" w:eastAsia="仿宋" w:cs="仿宋"/>
                <w:sz w:val="21"/>
              </w:rPr>
            </w:pPr>
          </w:p>
          <w:p w14:paraId="50E6AE27">
            <w:pPr>
              <w:pStyle w:val="5"/>
              <w:spacing w:line="219" w:lineRule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不断提高我县</w:t>
            </w:r>
            <w:r>
              <w:rPr>
                <w:rFonts w:hint="eastAsia" w:ascii="仿宋" w:hAnsi="仿宋" w:eastAsia="仿宋" w:cs="仿宋"/>
                <w:spacing w:val="1"/>
                <w:lang w:eastAsia="zh-CN"/>
              </w:rPr>
              <w:t>档案业务管理水平。</w:t>
            </w:r>
          </w:p>
        </w:tc>
      </w:tr>
      <w:tr w14:paraId="29BB1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34" w:type="dxa"/>
            <w:vAlign w:val="top"/>
          </w:tcPr>
          <w:p w14:paraId="1B95E296">
            <w:pPr>
              <w:pStyle w:val="5"/>
              <w:spacing w:before="65" w:line="241" w:lineRule="auto"/>
              <w:ind w:firstLine="200" w:firstLineChars="100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1828" w:type="dxa"/>
            <w:vAlign w:val="top"/>
          </w:tcPr>
          <w:p w14:paraId="487D36C1">
            <w:pPr>
              <w:pStyle w:val="5"/>
              <w:spacing w:before="65" w:line="219" w:lineRule="auto"/>
              <w:rPr>
                <w:rFonts w:hint="eastAsia" w:ascii="仿宋" w:hAnsi="仿宋" w:eastAsia="仿宋" w:cs="仿宋"/>
                <w:spacing w:val="1"/>
                <w:lang w:val="en-US" w:eastAsia="zh-CN"/>
              </w:rPr>
            </w:pPr>
          </w:p>
        </w:tc>
        <w:tc>
          <w:tcPr>
            <w:tcW w:w="2179" w:type="dxa"/>
            <w:vAlign w:val="top"/>
          </w:tcPr>
          <w:p w14:paraId="33BA0E31">
            <w:pPr>
              <w:pStyle w:val="5"/>
              <w:spacing w:before="65" w:line="334" w:lineRule="auto"/>
              <w:ind w:right="45"/>
              <w:rPr>
                <w:rFonts w:hint="default" w:ascii="仿宋" w:hAnsi="仿宋" w:eastAsia="仿宋" w:cs="仿宋"/>
                <w:spacing w:val="5"/>
                <w:lang w:val="en-US" w:eastAsia="zh-CN"/>
              </w:rPr>
            </w:pPr>
          </w:p>
        </w:tc>
        <w:tc>
          <w:tcPr>
            <w:tcW w:w="2496" w:type="dxa"/>
            <w:vAlign w:val="top"/>
          </w:tcPr>
          <w:p w14:paraId="67762C79">
            <w:pPr>
              <w:pStyle w:val="5"/>
              <w:spacing w:line="220" w:lineRule="auto"/>
              <w:rPr>
                <w:rFonts w:hint="eastAsia" w:ascii="仿宋" w:hAnsi="仿宋" w:eastAsia="仿宋" w:cs="仿宋"/>
                <w:lang w:eastAsia="zh-CN"/>
              </w:rPr>
            </w:pPr>
          </w:p>
        </w:tc>
        <w:tc>
          <w:tcPr>
            <w:tcW w:w="1344" w:type="dxa"/>
            <w:vAlign w:val="top"/>
          </w:tcPr>
          <w:p w14:paraId="1164A609">
            <w:pPr>
              <w:pStyle w:val="5"/>
              <w:spacing w:line="219" w:lineRule="auto"/>
              <w:rPr>
                <w:rFonts w:hint="eastAsia" w:ascii="仿宋" w:hAnsi="仿宋" w:eastAsia="仿宋" w:cs="仿宋"/>
                <w:spacing w:val="1"/>
              </w:rPr>
            </w:pPr>
          </w:p>
        </w:tc>
      </w:tr>
    </w:tbl>
    <w:p w14:paraId="66D71A16">
      <w:pPr>
        <w:ind w:firstLine="680" w:firstLineChars="200"/>
        <w:jc w:val="both"/>
        <w:rPr>
          <w:rFonts w:hint="default" w:ascii="仿宋_GB2312" w:hAnsi="仿宋_GB2312" w:eastAsia="仿宋" w:cs="仿宋_GB2312"/>
          <w:b w:val="0"/>
          <w:bCs w:val="0"/>
          <w:kern w:val="2"/>
          <w:sz w:val="34"/>
          <w:szCs w:val="34"/>
          <w:lang w:val="en-US" w:eastAsia="zh-CN" w:bidi="ar-SA"/>
        </w:rPr>
      </w:pPr>
    </w:p>
    <w:p w14:paraId="70DBB5F3">
      <w:pPr>
        <w:spacing w:before="184" w:line="308" w:lineRule="auto"/>
        <w:ind w:right="121" w:firstLine="610" w:firstLineChars="200"/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二、绩效自评结论</w:t>
      </w:r>
    </w:p>
    <w:p w14:paraId="21F78297">
      <w:pPr>
        <w:spacing w:before="184" w:line="308" w:lineRule="auto"/>
        <w:ind w:right="121" w:firstLine="608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经自查，对照《县级部门整体支出绩效评价指标自评得分表》，我馆整体支出绩效评价自评得分98分，自评为“优”。</w:t>
      </w:r>
    </w:p>
    <w:p w14:paraId="6FCA0F9C">
      <w:pPr>
        <w:spacing w:before="184" w:line="308" w:lineRule="auto"/>
        <w:ind w:right="121" w:firstLine="919"/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三、绩效自评分析</w:t>
      </w:r>
    </w:p>
    <w:p w14:paraId="040431DD">
      <w:pPr>
        <w:spacing w:before="184" w:line="308" w:lineRule="auto"/>
        <w:ind w:right="121" w:firstLine="919"/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（一）预算编制情况。</w:t>
      </w:r>
    </w:p>
    <w:p w14:paraId="7BD3A6FE">
      <w:pPr>
        <w:spacing w:before="184" w:line="308" w:lineRule="auto"/>
        <w:ind w:right="121" w:firstLine="608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1.预算编制合理性及规范性。经自评，县档案馆2025年部门预算项目预算24.48万元，分配至2个项目，基本覆盖部门整体绩效目标，符合本部门职责、符合县委、县政府方针政策和工作要求。部门预算资金能根据年度工作重点，在不同项目、不同用途之间分配合理。专项资金编制细化程度合理，功能分类和经济分类编制准确。</w:t>
      </w:r>
    </w:p>
    <w:p w14:paraId="4FACC71F">
      <w:pPr>
        <w:spacing w:before="184" w:line="308" w:lineRule="auto"/>
        <w:ind w:right="121" w:firstLine="608" w:firstLineChars="200"/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2.目标设置情况。经自评，县档案馆整体绩效目标能体现本单位“三定”方案规定的部门职能、中长期规划和年度工作计划。整体绩效目标与年度工作任务相符，所设立的整体绩效目标依据充分，符合客观实际。做到按要求设置并申报部门整体绩效目标及项目绩效目标，覆盖全面、内容完整。县档案馆依据整体绩效目标所设定的绩效指标清晰、细化、可量化。</w:t>
      </w:r>
    </w:p>
    <w:p w14:paraId="398EB42D">
      <w:pPr>
        <w:spacing w:before="184" w:line="308" w:lineRule="auto"/>
        <w:ind w:right="121" w:firstLine="610" w:firstLineChars="200"/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  <w:lang w:val="en-US" w:eastAsia="zh-CN"/>
        </w:rPr>
        <w:t>（二）预算执行情况。</w:t>
      </w:r>
    </w:p>
    <w:p w14:paraId="7F79D579">
      <w:pPr>
        <w:spacing w:before="184" w:line="308" w:lineRule="auto"/>
        <w:ind w:right="121" w:firstLine="608" w:firstLineChars="200"/>
        <w:rPr>
          <w:rFonts w:ascii="仿宋" w:hAnsi="仿宋" w:eastAsia="仿宋" w:cs="仿宋"/>
          <w:spacing w:val="2"/>
          <w:sz w:val="30"/>
          <w:szCs w:val="30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1.制度管理。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我馆制定了</w:t>
      </w:r>
      <w:r>
        <w:rPr>
          <w:rFonts w:ascii="仿宋" w:hAnsi="仿宋" w:eastAsia="仿宋" w:cs="仿宋"/>
          <w:spacing w:val="2"/>
          <w:sz w:val="30"/>
          <w:szCs w:val="30"/>
        </w:rPr>
        <w:t>《阳西县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档案馆</w:t>
      </w:r>
      <w:r>
        <w:rPr>
          <w:rFonts w:ascii="仿宋" w:hAnsi="仿宋" w:eastAsia="仿宋" w:cs="仿宋"/>
          <w:spacing w:val="2"/>
          <w:sz w:val="30"/>
          <w:szCs w:val="30"/>
        </w:rPr>
        <w:t>制度汇编》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，</w:t>
      </w:r>
      <w:r>
        <w:rPr>
          <w:rFonts w:ascii="仿宋" w:hAnsi="仿宋" w:eastAsia="仿宋" w:cs="仿宋"/>
          <w:spacing w:val="2"/>
          <w:sz w:val="30"/>
          <w:szCs w:val="30"/>
        </w:rPr>
        <w:t>包括财务管理、公务接待管理、差旅费管理办法等内容。</w:t>
      </w:r>
    </w:p>
    <w:p w14:paraId="550C2AE0">
      <w:pPr>
        <w:spacing w:before="200" w:line="329" w:lineRule="auto"/>
        <w:ind w:right="105" w:firstLine="604" w:firstLineChars="200"/>
        <w:rPr>
          <w:rFonts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1"/>
          <w:sz w:val="30"/>
          <w:szCs w:val="30"/>
          <w:lang w:val="en-US" w:eastAsia="zh-CN"/>
        </w:rPr>
        <w:t>2.资金管理。</w:t>
      </w:r>
      <w:r>
        <w:rPr>
          <w:rFonts w:ascii="仿宋" w:hAnsi="仿宋" w:eastAsia="仿宋" w:cs="仿宋"/>
          <w:spacing w:val="7"/>
          <w:sz w:val="30"/>
          <w:szCs w:val="30"/>
        </w:rPr>
        <w:t>县</w:t>
      </w:r>
      <w:r>
        <w:rPr>
          <w:rFonts w:hint="eastAsia" w:ascii="仿宋" w:hAnsi="仿宋" w:eastAsia="仿宋" w:cs="仿宋"/>
          <w:spacing w:val="7"/>
          <w:sz w:val="30"/>
          <w:szCs w:val="30"/>
          <w:lang w:eastAsia="zh-CN"/>
        </w:rPr>
        <w:t>档案馆</w:t>
      </w:r>
      <w:r>
        <w:rPr>
          <w:rFonts w:ascii="仿宋" w:hAnsi="仿宋" w:eastAsia="仿宋" w:cs="仿宋"/>
          <w:spacing w:val="7"/>
          <w:sz w:val="30"/>
          <w:szCs w:val="30"/>
        </w:rPr>
        <w:t>无下属事业单位。</w:t>
      </w:r>
      <w:r>
        <w:rPr>
          <w:rFonts w:hint="eastAsia" w:ascii="仿宋" w:hAnsi="仿宋" w:eastAsia="仿宋" w:cs="仿宋"/>
          <w:spacing w:val="18"/>
          <w:sz w:val="30"/>
          <w:szCs w:val="30"/>
          <w:lang w:eastAsia="zh-CN"/>
        </w:rPr>
        <w:t>我馆</w:t>
      </w:r>
      <w:r>
        <w:rPr>
          <w:rFonts w:ascii="仿宋" w:hAnsi="仿宋" w:eastAsia="仿宋" w:cs="仿宋"/>
          <w:spacing w:val="18"/>
          <w:sz w:val="30"/>
          <w:szCs w:val="30"/>
        </w:rPr>
        <w:t>202</w:t>
      </w:r>
      <w:r>
        <w:rPr>
          <w:rFonts w:hint="eastAsia" w:ascii="仿宋" w:hAnsi="仿宋" w:eastAsia="仿宋" w:cs="仿宋"/>
          <w:spacing w:val="18"/>
          <w:sz w:val="30"/>
          <w:szCs w:val="30"/>
          <w:lang w:val="en-US" w:eastAsia="zh-CN"/>
        </w:rPr>
        <w:t>5</w:t>
      </w:r>
      <w:r>
        <w:rPr>
          <w:rFonts w:ascii="仿宋" w:hAnsi="仿宋" w:eastAsia="仿宋" w:cs="仿宋"/>
          <w:spacing w:val="18"/>
          <w:sz w:val="30"/>
          <w:szCs w:val="30"/>
        </w:rPr>
        <w:t>年部门预算资金支出完</w:t>
      </w:r>
      <w:r>
        <w:rPr>
          <w:rFonts w:ascii="仿宋" w:hAnsi="仿宋" w:eastAsia="仿宋" w:cs="仿宋"/>
          <w:spacing w:val="25"/>
          <w:sz w:val="30"/>
          <w:szCs w:val="30"/>
        </w:rPr>
        <w:t>成率为</w:t>
      </w:r>
      <w:r>
        <w:rPr>
          <w:rFonts w:hint="eastAsia" w:ascii="仿宋" w:hAnsi="仿宋" w:eastAsia="仿宋" w:cs="仿宋"/>
          <w:spacing w:val="25"/>
          <w:sz w:val="30"/>
          <w:szCs w:val="30"/>
          <w:lang w:val="en-US" w:eastAsia="zh-CN"/>
        </w:rPr>
        <w:t>107</w:t>
      </w:r>
      <w:r>
        <w:rPr>
          <w:rFonts w:ascii="仿宋" w:hAnsi="仿宋" w:eastAsia="仿宋" w:cs="仿宋"/>
          <w:spacing w:val="25"/>
          <w:sz w:val="30"/>
          <w:szCs w:val="30"/>
        </w:rPr>
        <w:t>%</w:t>
      </w:r>
      <w:r>
        <w:rPr>
          <w:rFonts w:hint="eastAsia" w:ascii="仿宋" w:hAnsi="仿宋" w:eastAsia="仿宋" w:cs="仿宋"/>
          <w:spacing w:val="25"/>
          <w:sz w:val="30"/>
          <w:szCs w:val="30"/>
          <w:lang w:eastAsia="zh-CN"/>
        </w:rPr>
        <w:t>，</w:t>
      </w:r>
      <w:r>
        <w:rPr>
          <w:rFonts w:ascii="仿宋" w:hAnsi="仿宋" w:eastAsia="仿宋" w:cs="仿宋"/>
          <w:spacing w:val="25"/>
          <w:sz w:val="30"/>
          <w:szCs w:val="30"/>
        </w:rPr>
        <w:t>单位结转结余率为</w:t>
      </w:r>
      <w:r>
        <w:rPr>
          <w:rFonts w:hint="eastAsia" w:ascii="仿宋" w:hAnsi="仿宋" w:eastAsia="仿宋" w:cs="仿宋"/>
          <w:spacing w:val="25"/>
          <w:sz w:val="30"/>
          <w:szCs w:val="30"/>
          <w:lang w:val="en-US" w:eastAsia="zh-CN"/>
        </w:rPr>
        <w:t>0，</w:t>
      </w:r>
      <w:r>
        <w:rPr>
          <w:rFonts w:ascii="仿宋" w:hAnsi="仿宋" w:eastAsia="仿宋" w:cs="仿宋"/>
          <w:spacing w:val="24"/>
          <w:sz w:val="30"/>
          <w:szCs w:val="30"/>
        </w:rPr>
        <w:t>政府采购执行率为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100</w:t>
      </w:r>
      <w:r>
        <w:rPr>
          <w:rFonts w:ascii="仿宋" w:hAnsi="仿宋" w:eastAsia="仿宋" w:cs="仿宋"/>
          <w:spacing w:val="3"/>
          <w:sz w:val="30"/>
          <w:szCs w:val="30"/>
        </w:rPr>
        <w:t>%。单位基本支出管理、项目资金管理、费用支</w:t>
      </w:r>
      <w:r>
        <w:rPr>
          <w:rFonts w:ascii="仿宋" w:hAnsi="仿宋" w:eastAsia="仿宋" w:cs="仿宋"/>
          <w:spacing w:val="2"/>
          <w:sz w:val="30"/>
          <w:szCs w:val="30"/>
        </w:rPr>
        <w:t>出等制度严格执</w:t>
      </w:r>
      <w:r>
        <w:rPr>
          <w:rFonts w:ascii="仿宋" w:hAnsi="仿宋" w:eastAsia="仿宋" w:cs="仿宋"/>
          <w:spacing w:val="7"/>
          <w:sz w:val="30"/>
          <w:szCs w:val="30"/>
        </w:rPr>
        <w:t>行，会计核算规范，不存在支出依据不合规、虚列项目支出的情</w:t>
      </w:r>
      <w:r>
        <w:rPr>
          <w:rFonts w:ascii="仿宋" w:hAnsi="仿宋" w:eastAsia="仿宋" w:cs="仿宋"/>
          <w:spacing w:val="8"/>
          <w:sz w:val="30"/>
          <w:szCs w:val="30"/>
        </w:rPr>
        <w:t>况，不存在截留、挤占、挪用项目资金情况。严格按照</w:t>
      </w:r>
      <w:r>
        <w:rPr>
          <w:rFonts w:ascii="仿宋" w:hAnsi="仿宋" w:eastAsia="仿宋" w:cs="仿宋"/>
          <w:spacing w:val="7"/>
          <w:sz w:val="30"/>
          <w:szCs w:val="30"/>
        </w:rPr>
        <w:t>政府信息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公开有关规定公开相关预决算信息。</w:t>
      </w:r>
    </w:p>
    <w:p w14:paraId="28BCDEC7">
      <w:pPr>
        <w:spacing w:before="200" w:line="329" w:lineRule="auto"/>
        <w:ind w:right="105" w:firstLine="620" w:firstLineChars="200"/>
        <w:rPr>
          <w:rFonts w:ascii="仿宋" w:hAnsi="仿宋" w:eastAsia="仿宋" w:cs="仿宋"/>
          <w:spacing w:val="11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  <w:lang w:val="en-US" w:eastAsia="zh-CN"/>
        </w:rPr>
        <w:t>3.项目管理。</w:t>
      </w:r>
      <w:r>
        <w:rPr>
          <w:rFonts w:ascii="仿宋" w:hAnsi="仿宋" w:eastAsia="仿宋" w:cs="仿宋"/>
          <w:spacing w:val="14"/>
          <w:sz w:val="30"/>
          <w:szCs w:val="30"/>
        </w:rPr>
        <w:t>经自查，</w:t>
      </w:r>
      <w:r>
        <w:rPr>
          <w:rFonts w:hint="eastAsia" w:ascii="仿宋" w:hAnsi="仿宋" w:eastAsia="仿宋" w:cs="仿宋"/>
          <w:spacing w:val="14"/>
          <w:sz w:val="30"/>
          <w:szCs w:val="30"/>
          <w:lang w:eastAsia="zh-CN"/>
        </w:rPr>
        <w:t>我馆</w:t>
      </w:r>
      <w:r>
        <w:rPr>
          <w:rFonts w:ascii="仿宋" w:hAnsi="仿宋" w:eastAsia="仿宋" w:cs="仿宋"/>
          <w:spacing w:val="14"/>
          <w:sz w:val="30"/>
          <w:szCs w:val="30"/>
        </w:rPr>
        <w:t>无重大项目</w:t>
      </w:r>
      <w:r>
        <w:rPr>
          <w:rFonts w:hint="eastAsia" w:ascii="仿宋" w:hAnsi="仿宋" w:eastAsia="仿宋" w:cs="仿宋"/>
          <w:spacing w:val="14"/>
          <w:sz w:val="30"/>
          <w:szCs w:val="30"/>
          <w:lang w:eastAsia="zh-CN"/>
        </w:rPr>
        <w:t>（</w:t>
      </w:r>
      <w:r>
        <w:rPr>
          <w:rFonts w:ascii="仿宋" w:hAnsi="仿宋" w:eastAsia="仿宋" w:cs="仿宋"/>
          <w:spacing w:val="14"/>
          <w:sz w:val="30"/>
          <w:szCs w:val="30"/>
        </w:rPr>
        <w:t>单项资金</w:t>
      </w:r>
      <w:r>
        <w:rPr>
          <w:rFonts w:ascii="仿宋" w:hAnsi="仿宋" w:eastAsia="仿宋" w:cs="仿宋"/>
          <w:spacing w:val="13"/>
          <w:sz w:val="30"/>
          <w:szCs w:val="30"/>
        </w:rPr>
        <w:t>达50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万以上</w:t>
      </w:r>
      <w:r>
        <w:rPr>
          <w:rFonts w:hint="eastAsia" w:ascii="仿宋" w:hAnsi="仿宋" w:eastAsia="仿宋" w:cs="仿宋"/>
          <w:spacing w:val="11"/>
          <w:sz w:val="30"/>
          <w:szCs w:val="30"/>
          <w:lang w:eastAsia="zh-CN"/>
        </w:rPr>
        <w:t>），</w:t>
      </w:r>
      <w:r>
        <w:rPr>
          <w:rFonts w:ascii="仿宋" w:hAnsi="仿宋" w:eastAsia="仿宋" w:cs="仿宋"/>
          <w:spacing w:val="11"/>
          <w:sz w:val="30"/>
          <w:szCs w:val="30"/>
        </w:rPr>
        <w:t>所有项目支出实施过程规范，符合申报条件。</w:t>
      </w:r>
    </w:p>
    <w:p w14:paraId="21343205">
      <w:pPr>
        <w:spacing w:before="200" w:line="329" w:lineRule="auto"/>
        <w:ind w:right="105" w:firstLine="644" w:firstLineChars="200"/>
        <w:rPr>
          <w:rFonts w:ascii="仿宋" w:hAnsi="仿宋" w:eastAsia="仿宋" w:cs="仿宋"/>
          <w:spacing w:val="8"/>
          <w:sz w:val="30"/>
          <w:szCs w:val="30"/>
        </w:rPr>
      </w:pPr>
      <w:r>
        <w:rPr>
          <w:rFonts w:hint="eastAsia" w:ascii="仿宋" w:hAnsi="仿宋" w:eastAsia="仿宋" w:cs="仿宋"/>
          <w:spacing w:val="11"/>
          <w:sz w:val="30"/>
          <w:szCs w:val="30"/>
          <w:lang w:val="en-US" w:eastAsia="zh-CN"/>
        </w:rPr>
        <w:t>4.资产管理。</w:t>
      </w:r>
      <w:r>
        <w:rPr>
          <w:rFonts w:hint="eastAsia" w:ascii="仿宋" w:hAnsi="仿宋" w:eastAsia="仿宋" w:cs="仿宋"/>
          <w:spacing w:val="7"/>
          <w:sz w:val="30"/>
          <w:szCs w:val="30"/>
          <w:lang w:eastAsia="zh-CN"/>
        </w:rPr>
        <w:t>我馆</w:t>
      </w:r>
      <w:r>
        <w:rPr>
          <w:rFonts w:ascii="仿宋" w:hAnsi="仿宋" w:eastAsia="仿宋" w:cs="仿宋"/>
          <w:spacing w:val="7"/>
          <w:sz w:val="30"/>
          <w:szCs w:val="30"/>
        </w:rPr>
        <w:t>有资产管理内部管理规程，资产配置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合理、使用合规、处置规范，固定资产利用率100%。</w:t>
      </w:r>
    </w:p>
    <w:p w14:paraId="294040FA">
      <w:pPr>
        <w:spacing w:before="200" w:line="329" w:lineRule="auto"/>
        <w:ind w:right="105" w:firstLine="658" w:firstLineChars="200"/>
        <w:rPr>
          <w:rFonts w:hint="eastAsia" w:ascii="仿宋" w:hAnsi="仿宋" w:eastAsia="仿宋" w:cs="仿宋"/>
          <w:b/>
          <w:bCs/>
          <w:spacing w:val="14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4"/>
          <w:sz w:val="30"/>
          <w:szCs w:val="30"/>
          <w:lang w:eastAsia="zh-CN"/>
        </w:rPr>
        <w:t>（三）预算使用效益。</w:t>
      </w:r>
    </w:p>
    <w:p w14:paraId="6112863E">
      <w:pPr>
        <w:spacing w:before="200" w:line="329" w:lineRule="auto"/>
        <w:ind w:right="105" w:firstLine="656" w:firstLineChars="200"/>
        <w:rPr>
          <w:rFonts w:hint="eastAsia" w:ascii="仿宋" w:hAnsi="仿宋" w:eastAsia="仿宋" w:cs="仿宋"/>
          <w:spacing w:val="14"/>
          <w:sz w:val="30"/>
          <w:szCs w:val="30"/>
        </w:rPr>
      </w:pPr>
      <w:r>
        <w:rPr>
          <w:rFonts w:hint="eastAsia" w:ascii="仿宋" w:hAnsi="仿宋" w:eastAsia="仿宋" w:cs="仿宋"/>
          <w:spacing w:val="14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pacing w:val="14"/>
          <w:sz w:val="30"/>
          <w:szCs w:val="30"/>
        </w:rPr>
        <w:t>加强资金绩效运行监控，掌握资金使用情况，进一步提高资金使用效能，压减年末结余资金规模，提高预算完成率。</w:t>
      </w:r>
    </w:p>
    <w:p w14:paraId="180FAFE3">
      <w:pPr>
        <w:spacing w:before="200" w:line="329" w:lineRule="auto"/>
        <w:ind w:right="105" w:firstLine="656" w:firstLineChars="200"/>
        <w:rPr>
          <w:rFonts w:hint="eastAsia" w:ascii="仿宋" w:hAnsi="仿宋" w:eastAsia="仿宋" w:cs="仿宋"/>
          <w:spacing w:val="14"/>
          <w:sz w:val="30"/>
          <w:szCs w:val="30"/>
        </w:rPr>
      </w:pPr>
      <w:r>
        <w:rPr>
          <w:rFonts w:hint="eastAsia" w:ascii="仿宋" w:hAnsi="仿宋" w:eastAsia="仿宋" w:cs="仿宋"/>
          <w:spacing w:val="14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pacing w:val="14"/>
          <w:sz w:val="30"/>
          <w:szCs w:val="30"/>
        </w:rPr>
        <w:t>加强预算绩效管理，加快项目实施进度的推进，加</w:t>
      </w:r>
      <w:r>
        <w:rPr>
          <w:rFonts w:hint="eastAsia" w:ascii="仿宋" w:hAnsi="仿宋" w:eastAsia="仿宋" w:cs="仿宋"/>
          <w:spacing w:val="14"/>
          <w:sz w:val="30"/>
          <w:szCs w:val="30"/>
          <w:lang w:eastAsia="zh-CN"/>
        </w:rPr>
        <w:t>强对</w:t>
      </w:r>
      <w:r>
        <w:rPr>
          <w:rFonts w:hint="eastAsia" w:ascii="仿宋" w:hAnsi="仿宋" w:eastAsia="仿宋" w:cs="仿宋"/>
          <w:spacing w:val="14"/>
          <w:sz w:val="30"/>
          <w:szCs w:val="30"/>
        </w:rPr>
        <w:t>项目开展进度的跟踪，开展项目绩效评价，确保项目绩效目标的完成。</w:t>
      </w:r>
    </w:p>
    <w:p w14:paraId="75B8F186">
      <w:pPr>
        <w:spacing w:before="200" w:line="329" w:lineRule="auto"/>
        <w:ind w:right="105" w:firstLine="658" w:firstLineChars="200"/>
        <w:rPr>
          <w:rFonts w:ascii="仿宋" w:hAnsi="仿宋" w:eastAsia="仿宋" w:cs="仿宋"/>
          <w:b/>
          <w:bCs/>
          <w:spacing w:val="14"/>
          <w:sz w:val="30"/>
          <w:szCs w:val="30"/>
        </w:rPr>
      </w:pPr>
      <w:bookmarkStart w:id="0" w:name="_Toc18975"/>
      <w:r>
        <w:rPr>
          <w:rFonts w:hint="eastAsia" w:ascii="仿宋" w:hAnsi="仿宋" w:eastAsia="仿宋" w:cs="仿宋"/>
          <w:b/>
          <w:bCs/>
          <w:spacing w:val="14"/>
          <w:sz w:val="30"/>
          <w:szCs w:val="30"/>
        </w:rPr>
        <w:t>四、存在的问题、原因分析及改进措施</w:t>
      </w:r>
    </w:p>
    <w:p w14:paraId="761A4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" w:hAnsi="仿宋" w:eastAsia="仿宋" w:cs="仿宋"/>
          <w:spacing w:val="14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14"/>
          <w:sz w:val="30"/>
          <w:szCs w:val="30"/>
          <w:lang w:val="en-US" w:eastAsia="zh-CN"/>
        </w:rPr>
        <w:t>本单位取得成绩的同时，也存在一些困难和问题。主要表现在：</w:t>
      </w:r>
      <w:r>
        <w:rPr>
          <w:rFonts w:hint="eastAsia" w:ascii="仿宋" w:hAnsi="仿宋" w:eastAsia="仿宋" w:cs="仿宋"/>
          <w:b/>
          <w:bCs/>
          <w:spacing w:val="14"/>
          <w:sz w:val="30"/>
          <w:szCs w:val="30"/>
          <w:lang w:val="en-US" w:eastAsia="zh-CN"/>
        </w:rPr>
        <w:t>一是</w:t>
      </w:r>
      <w:r>
        <w:rPr>
          <w:rFonts w:hint="eastAsia" w:ascii="仿宋" w:hAnsi="仿宋" w:eastAsia="仿宋" w:cs="仿宋"/>
          <w:spacing w:val="14"/>
          <w:sz w:val="30"/>
          <w:szCs w:val="30"/>
          <w:lang w:val="en-US" w:eastAsia="zh-CN"/>
        </w:rPr>
        <w:t>根据档案事业“十四五”规划的要求，有些工作推进不力。例如，我馆暂无电子文件归档与电子档案管理和数字档案馆建设滞后。</w:t>
      </w:r>
      <w:r>
        <w:rPr>
          <w:rFonts w:hint="eastAsia" w:ascii="仿宋" w:hAnsi="仿宋" w:eastAsia="仿宋" w:cs="仿宋"/>
          <w:b/>
          <w:bCs/>
          <w:spacing w:val="14"/>
          <w:sz w:val="30"/>
          <w:szCs w:val="30"/>
          <w:lang w:val="en-US" w:eastAsia="zh-CN"/>
        </w:rPr>
        <w:t>二是</w:t>
      </w:r>
      <w:r>
        <w:rPr>
          <w:rFonts w:hint="eastAsia" w:ascii="仿宋" w:hAnsi="仿宋" w:eastAsia="仿宋" w:cs="仿宋"/>
          <w:spacing w:val="14"/>
          <w:sz w:val="30"/>
          <w:szCs w:val="30"/>
          <w:lang w:val="en-US" w:eastAsia="zh-CN"/>
        </w:rPr>
        <w:t>一些硬件设施不足。如每年都有大量的档案接收进馆和档案进行定期消毒工作，档案搬运工作量大，至今未配备货梯。</w:t>
      </w:r>
      <w:r>
        <w:rPr>
          <w:rFonts w:hint="eastAsia" w:ascii="仿宋" w:hAnsi="仿宋" w:eastAsia="仿宋" w:cs="仿宋"/>
          <w:b/>
          <w:bCs/>
          <w:spacing w:val="14"/>
          <w:sz w:val="30"/>
          <w:szCs w:val="30"/>
          <w:lang w:val="en-US" w:eastAsia="zh-CN"/>
        </w:rPr>
        <w:t>三是</w:t>
      </w:r>
      <w:r>
        <w:rPr>
          <w:rFonts w:hint="eastAsia" w:ascii="仿宋" w:hAnsi="仿宋" w:eastAsia="仿宋" w:cs="仿宋"/>
          <w:spacing w:val="14"/>
          <w:sz w:val="30"/>
          <w:szCs w:val="30"/>
          <w:lang w:val="en-US" w:eastAsia="zh-CN"/>
        </w:rPr>
        <w:t>人手及专项经费紧缺，导致一些工作推进成效不足。</w:t>
      </w:r>
    </w:p>
    <w:bookmarkEnd w:id="0"/>
    <w:p w14:paraId="14F0BAD0">
      <w:pPr>
        <w:spacing w:before="184" w:line="308" w:lineRule="auto"/>
        <w:ind w:right="121" w:firstLine="919"/>
        <w:rPr>
          <w:rFonts w:hint="default" w:ascii="仿宋" w:hAnsi="仿宋" w:eastAsia="仿宋" w:cs="仿宋"/>
          <w:spacing w:val="1"/>
          <w:sz w:val="30"/>
          <w:szCs w:val="30"/>
          <w:lang w:val="en-US" w:eastAsia="zh-CN"/>
        </w:rPr>
      </w:pPr>
    </w:p>
    <w:p w14:paraId="60D5B866">
      <w:pPr>
        <w:ind w:firstLine="680" w:firstLineChars="200"/>
        <w:jc w:val="both"/>
        <w:rPr>
          <w:rFonts w:hint="default" w:ascii="仿宋_GB2312" w:hAnsi="仿宋_GB2312" w:eastAsia="仿宋" w:cs="仿宋_GB2312"/>
          <w:b w:val="0"/>
          <w:bCs w:val="0"/>
          <w:kern w:val="2"/>
          <w:sz w:val="34"/>
          <w:szCs w:val="34"/>
          <w:lang w:val="en-US" w:eastAsia="zh-CN" w:bidi="ar-SA"/>
        </w:rPr>
      </w:pPr>
    </w:p>
    <w:p w14:paraId="60F89373">
      <w:pPr>
        <w:ind w:firstLine="680" w:firstLineChars="200"/>
        <w:jc w:val="both"/>
        <w:rPr>
          <w:rFonts w:hint="default" w:ascii="仿宋_GB2312" w:hAnsi="仿宋_GB2312" w:eastAsia="仿宋" w:cs="仿宋_GB2312"/>
          <w:b w:val="0"/>
          <w:bCs w:val="0"/>
          <w:kern w:val="2"/>
          <w:sz w:val="34"/>
          <w:szCs w:val="3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64469"/>
    <w:rsid w:val="0194631B"/>
    <w:rsid w:val="03DA48E8"/>
    <w:rsid w:val="08D64469"/>
    <w:rsid w:val="096133B5"/>
    <w:rsid w:val="0C277EFD"/>
    <w:rsid w:val="11001706"/>
    <w:rsid w:val="118724A7"/>
    <w:rsid w:val="15EE5FD1"/>
    <w:rsid w:val="164156CA"/>
    <w:rsid w:val="178037B6"/>
    <w:rsid w:val="1EE342C3"/>
    <w:rsid w:val="20126D60"/>
    <w:rsid w:val="22D944C3"/>
    <w:rsid w:val="26510D93"/>
    <w:rsid w:val="26725F92"/>
    <w:rsid w:val="27D93E6C"/>
    <w:rsid w:val="2ACA0963"/>
    <w:rsid w:val="2B632B65"/>
    <w:rsid w:val="303A59F0"/>
    <w:rsid w:val="320854C1"/>
    <w:rsid w:val="35F62610"/>
    <w:rsid w:val="3C2E44DD"/>
    <w:rsid w:val="401D10DD"/>
    <w:rsid w:val="43E02B4D"/>
    <w:rsid w:val="46EB3CE3"/>
    <w:rsid w:val="4B8A37CC"/>
    <w:rsid w:val="4DF23908"/>
    <w:rsid w:val="525E180D"/>
    <w:rsid w:val="539F3E8B"/>
    <w:rsid w:val="579E26AC"/>
    <w:rsid w:val="619662A2"/>
    <w:rsid w:val="64AC30F6"/>
    <w:rsid w:val="650763EB"/>
    <w:rsid w:val="69164798"/>
    <w:rsid w:val="6958090C"/>
    <w:rsid w:val="6EA34083"/>
    <w:rsid w:val="706B361B"/>
    <w:rsid w:val="725754BB"/>
    <w:rsid w:val="79CD0EA3"/>
    <w:rsid w:val="7A9E3040"/>
    <w:rsid w:val="7BEE3352"/>
    <w:rsid w:val="7EA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869fb1fb-1e32-48e8-a1fe-0c870b4605d7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1166DED8</paraID>
      <start>16</start>
      <end>17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0659c6d-5eb6-44ad-b018-8f337a06a5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2246</Words>
  <Characters>2355</Characters>
  <Lines>0</Lines>
  <Paragraphs>0</Paragraphs>
  <TotalTime>12</TotalTime>
  <ScaleCrop>false</ScaleCrop>
  <LinksUpToDate>false</LinksUpToDate>
  <CharactersWithSpaces>2358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2025-08-18T08:28:00Z</dcterms:created>
  <dc:creator>企业用户_442926755</dc:creator>
  <cp:lastModifiedBy>企业用户_442926755</cp:lastModifiedBy>
  <cp:lastPrinted>2026-04-20T08:56:52Z</cp:lastPrinted>
  <dcterms:modified xsi:type="dcterms:W3CDTF">2026-04-20T08:57:15Z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86917BE73D3D4E328627E901F0F892D0_11</vt:lpwstr>
  </property>
  <property fmtid="{D5CDD505-2E9C-101B-9397-08002B2CF9AE}" pid="4" name="KSOTemplateDocerSaveRecord">
    <vt:lpwstr>eyJoZGlkIjoiNTViYjVmN2E0ZTYzNGQ2MWZhNjVlMTc5YjI5OGMyODMiLCJ1c2VySWQiOiIxNTExMTA2NDc1In0=</vt:lpwstr>
  </property>
</Properties>
</file>