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3D680">
      <w:pPr>
        <w:rPr>
          <w:rFonts w:ascii="宋体" w:hAnsi="宋体" w:eastAsia="宋体"/>
          <w:sz w:val="28"/>
          <w:szCs w:val="28"/>
        </w:rPr>
      </w:pPr>
      <w:r>
        <w:rPr>
          <w:rFonts w:hint="eastAsia" w:ascii="宋体" w:hAnsi="宋体" w:eastAsia="宋体"/>
          <w:sz w:val="28"/>
          <w:szCs w:val="28"/>
        </w:rPr>
        <w:t>附件2-3</w:t>
      </w:r>
    </w:p>
    <w:p w14:paraId="3AC592BF"/>
    <w:p w14:paraId="23119560">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14:paraId="5F9A6213">
      <w:pPr>
        <w:spacing w:line="360" w:lineRule="auto"/>
        <w:jc w:val="center"/>
        <w:rPr>
          <w:rFonts w:ascii="仿宋_GB2312"/>
          <w:szCs w:val="44"/>
        </w:rPr>
      </w:pPr>
    </w:p>
    <w:p w14:paraId="374F654F"/>
    <w:p w14:paraId="338178C8"/>
    <w:p w14:paraId="25E89CB8"/>
    <w:p w14:paraId="16278FFC"/>
    <w:p w14:paraId="19DA23AB">
      <w:pPr>
        <w:ind w:firstLine="1894" w:firstLineChars="592"/>
        <w:rPr>
          <w:rFonts w:hint="default" w:eastAsia="仿宋_GB2312"/>
          <w:lang w:val="en-US" w:eastAsia="zh-CN"/>
        </w:rPr>
      </w:pPr>
      <w:r>
        <w:rPr>
          <w:rFonts w:hint="eastAsia"/>
        </w:rPr>
        <w:t>部门名称（公章）：</w:t>
      </w:r>
      <w:r>
        <w:rPr>
          <w:rFonts w:hint="eastAsia" w:ascii="仿宋_GB2312"/>
          <w:lang w:val="en-US" w:eastAsia="zh-CN"/>
        </w:rPr>
        <w:t>阳西县城市管理和综合执法局</w:t>
      </w:r>
    </w:p>
    <w:p w14:paraId="7E8DB5A2">
      <w:pPr>
        <w:ind w:firstLine="1894" w:firstLineChars="592"/>
        <w:rPr>
          <w:rFonts w:hint="default" w:eastAsia="仿宋_GB2312"/>
          <w:lang w:val="en-US" w:eastAsia="zh-CN"/>
        </w:rPr>
      </w:pPr>
      <w:r>
        <w:rPr>
          <w:rFonts w:hint="eastAsia"/>
        </w:rPr>
        <w:t>填报人姓名：</w:t>
      </w:r>
      <w:r>
        <w:rPr>
          <w:rFonts w:hint="eastAsia"/>
          <w:lang w:val="en-US" w:eastAsia="zh-CN"/>
        </w:rPr>
        <w:t>简少华</w:t>
      </w:r>
    </w:p>
    <w:p w14:paraId="77D37D3C">
      <w:pPr>
        <w:ind w:firstLine="1894" w:firstLineChars="592"/>
        <w:rPr>
          <w:rFonts w:hint="default" w:eastAsia="仿宋_GB2312"/>
          <w:lang w:val="en-US" w:eastAsia="zh-CN"/>
        </w:rPr>
      </w:pPr>
      <w:r>
        <w:rPr>
          <w:rFonts w:hint="eastAsia"/>
        </w:rPr>
        <w:t>联系电话：</w:t>
      </w:r>
      <w:r>
        <w:rPr>
          <w:rFonts w:hint="eastAsia"/>
          <w:lang w:val="en-US" w:eastAsia="zh-CN"/>
        </w:rPr>
        <w:t>0662-8160372</w:t>
      </w:r>
    </w:p>
    <w:p w14:paraId="0D852E06">
      <w:pPr>
        <w:ind w:firstLine="1894" w:firstLineChars="592"/>
        <w:rPr>
          <w:rFonts w:hint="default" w:eastAsia="仿宋_GB2312"/>
          <w:lang w:val="en-US" w:eastAsia="zh-CN"/>
        </w:rPr>
      </w:pPr>
      <w:r>
        <w:rPr>
          <w:rFonts w:hint="eastAsia"/>
        </w:rPr>
        <w:t>填报日期：</w:t>
      </w:r>
      <w:r>
        <w:rPr>
          <w:rFonts w:hint="eastAsia"/>
          <w:lang w:val="en-US" w:eastAsia="zh-CN"/>
        </w:rPr>
        <w:t>2025年5月29日</w:t>
      </w:r>
    </w:p>
    <w:p w14:paraId="6F7570F5"/>
    <w:p w14:paraId="2B27FDE7"/>
    <w:p w14:paraId="749406D3"/>
    <w:p w14:paraId="527A731B"/>
    <w:p w14:paraId="06D2620A">
      <w:r>
        <w:rPr>
          <w:rFonts w:hint="eastAsia"/>
        </w:rPr>
        <w:t xml:space="preserve">                     阳西县财政局制</w:t>
      </w:r>
    </w:p>
    <w:p w14:paraId="57B9F761">
      <w:r>
        <w:rPr>
          <w:rFonts w:hint="eastAsia"/>
        </w:rPr>
        <w:t xml:space="preserve">                         202</w:t>
      </w:r>
      <w:r>
        <w:rPr>
          <w:rFonts w:hint="eastAsia"/>
          <w:lang w:val="en-US" w:eastAsia="zh-CN"/>
        </w:rPr>
        <w:t>3</w:t>
      </w:r>
      <w:r>
        <w:rPr>
          <w:rFonts w:hint="eastAsia"/>
        </w:rPr>
        <w:t>年</w:t>
      </w:r>
    </w:p>
    <w:p w14:paraId="698AF780"/>
    <w:p w14:paraId="1329ACEB"/>
    <w:p w14:paraId="32D31A5E">
      <w:pPr>
        <w:pStyle w:val="10"/>
        <w:ind w:firstLine="640"/>
        <w:rPr>
          <w:rFonts w:ascii="仿宋_GB2312" w:hAnsi="Times New Roman" w:eastAsia="仿宋_GB2312"/>
          <w:sz w:val="32"/>
          <w:szCs w:val="32"/>
        </w:rPr>
        <w:sectPr>
          <w:pgSz w:w="11906" w:h="16838"/>
          <w:pgMar w:top="2041" w:right="1417" w:bottom="1417" w:left="1531" w:header="851" w:footer="992" w:gutter="0"/>
          <w:pgNumType w:fmt="numberInDash" w:start="1"/>
          <w:cols w:space="720" w:num="1"/>
          <w:docGrid w:type="lines" w:linePitch="312" w:charSpace="0"/>
        </w:sectPr>
      </w:pPr>
    </w:p>
    <w:p w14:paraId="695C0FD6">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14:paraId="5CA05CF0">
      <w:pPr>
        <w:ind w:firstLine="616" w:firstLineChars="200"/>
        <w:rPr>
          <w:b/>
        </w:rPr>
      </w:pPr>
      <w:bookmarkStart w:id="2" w:name="_Toc5988_WPSOffice_Level3"/>
      <w:bookmarkStart w:id="3" w:name="_Toc30104"/>
      <w:bookmarkStart w:id="4" w:name="_Toc23683"/>
      <w:r>
        <w:rPr>
          <w:rFonts w:hint="eastAsia"/>
          <w:b/>
        </w:rPr>
        <w:t>（一）部门整体概况</w:t>
      </w:r>
      <w:bookmarkEnd w:id="2"/>
      <w:bookmarkEnd w:id="3"/>
      <w:bookmarkEnd w:id="4"/>
      <w:r>
        <w:rPr>
          <w:rFonts w:hint="eastAsia"/>
          <w:b/>
        </w:rPr>
        <w:t>。</w:t>
      </w:r>
    </w:p>
    <w:p w14:paraId="34360F6E">
      <w:pPr>
        <w:ind w:firstLine="616" w:firstLineChars="200"/>
        <w:rPr>
          <w:rFonts w:hint="eastAsia"/>
          <w:sz w:val="32"/>
          <w:szCs w:val="32"/>
          <w:lang w:val="en-US" w:eastAsia="zh-CN"/>
        </w:rPr>
      </w:pPr>
      <w:bookmarkStart w:id="5" w:name="_Toc25996"/>
      <w:bookmarkStart w:id="6" w:name="_Toc14936_WPSOffice_Level2"/>
      <w:r>
        <w:rPr>
          <w:rFonts w:hint="eastAsia"/>
          <w:sz w:val="32"/>
          <w:szCs w:val="32"/>
          <w:lang w:eastAsia="zh-CN"/>
        </w:rPr>
        <w:t>根据阳机编办发</w:t>
      </w:r>
      <w:r>
        <w:rPr>
          <w:rFonts w:hint="eastAsia"/>
          <w:sz w:val="32"/>
          <w:szCs w:val="32"/>
          <w:lang w:val="en-US" w:eastAsia="zh-CN"/>
        </w:rPr>
        <w:t>[2018]40号《阳江市机构编制委员会办公室关于组建阳西县城市管理和综合执法局的通知》精神，撤销原阳西县综合行政执法局，组建阳西县城市管理和综合执法局，为阳西县政府工作部门，为正科级行政单位。另外，我局根据2019年3月25日印发的西办法[2019]27号关于《阳西县城市管理和综合执法局职能配置、内设机构和人员编制规定》的通知精神进行组建成立。</w:t>
      </w:r>
    </w:p>
    <w:p w14:paraId="75F2CB87">
      <w:pPr>
        <w:numPr>
          <w:ilvl w:val="0"/>
          <w:numId w:val="0"/>
        </w:numPr>
        <w:ind w:leftChars="0"/>
        <w:rPr>
          <w:rFonts w:hint="eastAsia"/>
          <w:b/>
          <w:bCs/>
          <w:sz w:val="32"/>
          <w:szCs w:val="32"/>
          <w:lang w:eastAsia="zh-CN"/>
        </w:rPr>
      </w:pPr>
      <w:r>
        <w:rPr>
          <w:rFonts w:hint="eastAsia"/>
          <w:b/>
          <w:bCs/>
          <w:sz w:val="32"/>
          <w:szCs w:val="32"/>
          <w:lang w:val="en-US" w:eastAsia="zh-CN"/>
        </w:rPr>
        <w:t xml:space="preserve">     </w:t>
      </w:r>
      <w:r>
        <w:rPr>
          <w:rFonts w:hint="eastAsia"/>
          <w:b/>
          <w:bCs/>
          <w:sz w:val="32"/>
          <w:szCs w:val="32"/>
          <w:lang w:eastAsia="zh-CN"/>
        </w:rPr>
        <w:t>职责调整情况：</w:t>
      </w:r>
    </w:p>
    <w:p w14:paraId="4F1C5148">
      <w:pPr>
        <w:numPr>
          <w:ilvl w:val="0"/>
          <w:numId w:val="0"/>
        </w:numPr>
        <w:ind w:firstLine="616" w:firstLineChars="200"/>
        <w:rPr>
          <w:rFonts w:hint="eastAsia"/>
          <w:sz w:val="32"/>
          <w:szCs w:val="32"/>
          <w:lang w:val="en-US" w:eastAsia="zh-CN"/>
        </w:rPr>
      </w:pPr>
      <w:r>
        <w:rPr>
          <w:rFonts w:hint="eastAsia"/>
          <w:sz w:val="32"/>
          <w:szCs w:val="32"/>
          <w:lang w:val="en-US" w:eastAsia="zh-CN"/>
        </w:rPr>
        <w:t>1、将原县环境保护局行使的社会生活噪声污染、建筑施工噪声污染、建筑施工扬尘污染、餐饮服务业油烟污染、露天烧烤污染、城市焚烧沥青塑料垃圾等烟尘和恶臭污染、露天焚烧桔杆落叶等烟尘污染、燃放烟花爆竹污染等的行政处罚权划入。</w:t>
      </w:r>
    </w:p>
    <w:p w14:paraId="5D04813F">
      <w:pPr>
        <w:numPr>
          <w:ilvl w:val="0"/>
          <w:numId w:val="0"/>
        </w:numPr>
        <w:ind w:firstLine="616" w:firstLineChars="200"/>
        <w:rPr>
          <w:rFonts w:hint="eastAsia"/>
          <w:sz w:val="32"/>
          <w:szCs w:val="32"/>
          <w:lang w:val="en-US" w:eastAsia="zh-CN"/>
        </w:rPr>
      </w:pPr>
      <w:r>
        <w:rPr>
          <w:rFonts w:hint="eastAsia"/>
          <w:sz w:val="32"/>
          <w:szCs w:val="32"/>
          <w:lang w:val="en-US" w:eastAsia="zh-CN"/>
        </w:rPr>
        <w:t>2、将原县工商局行使的户外公共场所无照经营、违规设置户外广告的行政处罚权划入。</w:t>
      </w:r>
    </w:p>
    <w:p w14:paraId="63084722">
      <w:pPr>
        <w:numPr>
          <w:ilvl w:val="0"/>
          <w:numId w:val="0"/>
        </w:numPr>
        <w:ind w:firstLine="616" w:firstLineChars="200"/>
        <w:rPr>
          <w:rFonts w:hint="eastAsia"/>
          <w:sz w:val="32"/>
          <w:szCs w:val="32"/>
          <w:lang w:val="en-US" w:eastAsia="zh-CN"/>
        </w:rPr>
      </w:pPr>
      <w:r>
        <w:rPr>
          <w:rFonts w:hint="eastAsia"/>
          <w:sz w:val="32"/>
          <w:szCs w:val="32"/>
          <w:lang w:val="en-US" w:eastAsia="zh-CN"/>
        </w:rPr>
        <w:t>3、将县公安局行使的侵占城市道路、违法停放车辆等的行政处罚权划入。</w:t>
      </w:r>
    </w:p>
    <w:p w14:paraId="5080EDB1">
      <w:pPr>
        <w:numPr>
          <w:ilvl w:val="0"/>
          <w:numId w:val="0"/>
        </w:numPr>
        <w:ind w:firstLine="616" w:firstLineChars="200"/>
        <w:rPr>
          <w:rFonts w:hint="eastAsia"/>
          <w:sz w:val="32"/>
          <w:szCs w:val="32"/>
          <w:lang w:val="en-US" w:eastAsia="zh-CN"/>
        </w:rPr>
      </w:pPr>
      <w:r>
        <w:rPr>
          <w:rFonts w:hint="eastAsia"/>
          <w:sz w:val="32"/>
          <w:szCs w:val="32"/>
          <w:lang w:val="en-US" w:eastAsia="zh-CN"/>
        </w:rPr>
        <w:t>4、将县水务局行使的项城市和到青岛废弃物和垃圾及违规取土、城市和到违法建筑物拆除等的行政处罚权划入。</w:t>
      </w:r>
    </w:p>
    <w:p w14:paraId="3E134F8E">
      <w:pPr>
        <w:numPr>
          <w:ilvl w:val="0"/>
          <w:numId w:val="0"/>
        </w:numPr>
        <w:ind w:firstLine="616" w:firstLineChars="200"/>
        <w:rPr>
          <w:rFonts w:hint="eastAsia"/>
          <w:sz w:val="32"/>
          <w:szCs w:val="32"/>
          <w:lang w:val="en-US" w:eastAsia="zh-CN"/>
        </w:rPr>
      </w:pPr>
      <w:r>
        <w:rPr>
          <w:rFonts w:hint="eastAsia"/>
          <w:sz w:val="32"/>
          <w:szCs w:val="32"/>
          <w:lang w:val="en-US" w:eastAsia="zh-CN"/>
        </w:rPr>
        <w:t>5、将原县食品药品监管局行使的户外公共场所食品销售和餐饮摊点无证经营，以及违法回收贩卖药品等的行政处罚权划入。</w:t>
      </w:r>
    </w:p>
    <w:p w14:paraId="0786A6A0">
      <w:pPr>
        <w:numPr>
          <w:ilvl w:val="0"/>
          <w:numId w:val="0"/>
        </w:numPr>
        <w:ind w:leftChars="0" w:firstLine="616" w:firstLineChars="200"/>
        <w:rPr>
          <w:rFonts w:hint="eastAsia"/>
          <w:b/>
          <w:bCs/>
          <w:sz w:val="32"/>
          <w:szCs w:val="32"/>
          <w:lang w:eastAsia="zh-CN"/>
        </w:rPr>
      </w:pPr>
      <w:r>
        <w:rPr>
          <w:rFonts w:hint="eastAsia"/>
          <w:b/>
          <w:bCs/>
          <w:sz w:val="32"/>
          <w:szCs w:val="32"/>
          <w:lang w:eastAsia="zh-CN"/>
        </w:rPr>
        <w:t>主要职责：</w:t>
      </w:r>
    </w:p>
    <w:p w14:paraId="70955816">
      <w:pPr>
        <w:numPr>
          <w:ilvl w:val="0"/>
          <w:numId w:val="0"/>
        </w:numPr>
        <w:ind w:firstLine="616" w:firstLineChars="200"/>
        <w:rPr>
          <w:rFonts w:hint="eastAsia"/>
          <w:sz w:val="32"/>
          <w:szCs w:val="32"/>
          <w:lang w:val="en-US" w:eastAsia="zh-CN"/>
        </w:rPr>
      </w:pPr>
      <w:r>
        <w:rPr>
          <w:rFonts w:hint="eastAsia"/>
          <w:sz w:val="32"/>
          <w:szCs w:val="32"/>
          <w:lang w:val="en-US" w:eastAsia="zh-CN"/>
        </w:rPr>
        <w:t>1、贯彻执行国家和省、市有关城市管理和综合执法的法律、法规、规章和方针、政策；起草相关政策措施，拟定相关管理标准并组织实施。</w:t>
      </w:r>
    </w:p>
    <w:p w14:paraId="78F8FABC">
      <w:pPr>
        <w:numPr>
          <w:ilvl w:val="0"/>
          <w:numId w:val="0"/>
        </w:numPr>
        <w:ind w:firstLine="616" w:firstLineChars="200"/>
        <w:rPr>
          <w:rFonts w:hint="eastAsia"/>
          <w:sz w:val="32"/>
          <w:szCs w:val="32"/>
          <w:lang w:val="en-US" w:eastAsia="zh-CN"/>
        </w:rPr>
      </w:pPr>
      <w:r>
        <w:rPr>
          <w:rFonts w:hint="eastAsia"/>
          <w:sz w:val="32"/>
          <w:szCs w:val="32"/>
          <w:lang w:val="en-US" w:eastAsia="zh-CN"/>
        </w:rPr>
        <w:t>2、编制城市管理和综合执法发展总体规划、长中期规划和专项规划，并组织实施。</w:t>
      </w:r>
    </w:p>
    <w:p w14:paraId="1BBCE1A6">
      <w:pPr>
        <w:numPr>
          <w:ilvl w:val="0"/>
          <w:numId w:val="0"/>
        </w:numPr>
        <w:ind w:firstLine="616" w:firstLineChars="200"/>
        <w:rPr>
          <w:rFonts w:hint="eastAsia"/>
          <w:sz w:val="32"/>
          <w:szCs w:val="32"/>
          <w:lang w:val="en-US" w:eastAsia="zh-CN"/>
        </w:rPr>
      </w:pPr>
      <w:r>
        <w:rPr>
          <w:rFonts w:hint="eastAsia"/>
          <w:sz w:val="32"/>
          <w:szCs w:val="32"/>
          <w:lang w:val="en-US" w:eastAsia="zh-CN"/>
        </w:rPr>
        <w:t>3、负责县城建成区内的城市道路、桥梁、照明、排水排污（排洪河道、净水厂、污水处理厂除外）、市容环境卫生、城市园林绿化、城市公园（广场）等市政设施的行业管理，负责城市园林绿化、公园、路灯排水排污（排洪河道、净水厂、污水处理厂除外）</w:t>
      </w:r>
      <w:bookmarkStart w:id="32" w:name="_GoBack"/>
      <w:bookmarkEnd w:id="32"/>
      <w:r>
        <w:rPr>
          <w:rFonts w:hint="eastAsia"/>
          <w:sz w:val="32"/>
          <w:szCs w:val="32"/>
          <w:lang w:val="en-US" w:eastAsia="zh-CN"/>
        </w:rPr>
        <w:t>及环卫设施等市政基础设施的规划、建设，参与市政规划和重大市政基础设施建设项目设计方案的审查和竣工验收，参与城市排水排污、（排洪河道、净水厂、污水处理厂除外）规划、绿化规划、风景名胜规划等规划编制。</w:t>
      </w:r>
    </w:p>
    <w:p w14:paraId="0C4D2F04">
      <w:pPr>
        <w:numPr>
          <w:ilvl w:val="0"/>
          <w:numId w:val="0"/>
        </w:numPr>
        <w:ind w:firstLine="616" w:firstLineChars="200"/>
        <w:rPr>
          <w:rFonts w:hint="eastAsia"/>
          <w:sz w:val="32"/>
          <w:szCs w:val="32"/>
          <w:lang w:val="en-US" w:eastAsia="zh-CN"/>
        </w:rPr>
      </w:pPr>
      <w:r>
        <w:rPr>
          <w:rFonts w:hint="eastAsia"/>
          <w:sz w:val="32"/>
          <w:szCs w:val="32"/>
          <w:lang w:val="en-US" w:eastAsia="zh-CN"/>
        </w:rPr>
        <w:t>4、编制城市市政公用、市容环卫、园林绿化和综合执法建设、管理、维护计划，并组织实施和监督。</w:t>
      </w:r>
    </w:p>
    <w:p w14:paraId="72927F2E">
      <w:pPr>
        <w:numPr>
          <w:ilvl w:val="0"/>
          <w:numId w:val="0"/>
        </w:numPr>
        <w:ind w:firstLine="616" w:firstLineChars="200"/>
        <w:rPr>
          <w:rFonts w:hint="eastAsia"/>
          <w:sz w:val="32"/>
          <w:szCs w:val="32"/>
          <w:lang w:val="en-US" w:eastAsia="zh-CN"/>
        </w:rPr>
      </w:pPr>
      <w:r>
        <w:rPr>
          <w:rFonts w:hint="eastAsia"/>
          <w:sz w:val="32"/>
          <w:szCs w:val="32"/>
          <w:lang w:val="en-US" w:eastAsia="zh-CN"/>
        </w:rPr>
        <w:t>5、负责城市建设管理经费、维护经费、执法经费、专项整治经费计划的编制和使用监督。依据法规和有关规定负责城市管理有关行政性费用的征收管理工作。</w:t>
      </w:r>
    </w:p>
    <w:p w14:paraId="36EE113F">
      <w:pPr>
        <w:numPr>
          <w:ilvl w:val="0"/>
          <w:numId w:val="0"/>
        </w:numPr>
        <w:ind w:firstLine="616" w:firstLineChars="200"/>
        <w:rPr>
          <w:rFonts w:hint="eastAsia"/>
          <w:sz w:val="32"/>
          <w:szCs w:val="32"/>
          <w:lang w:val="en-US" w:eastAsia="zh-CN"/>
        </w:rPr>
      </w:pPr>
      <w:r>
        <w:rPr>
          <w:rFonts w:hint="eastAsia"/>
          <w:sz w:val="32"/>
          <w:szCs w:val="32"/>
          <w:lang w:val="en-US" w:eastAsia="zh-CN"/>
        </w:rPr>
        <w:t>6、负责城市市政公用、市容环卫、园林绿化、户外广告设置等城市管理方面的行政审批职责。负责县城建成区门店牌匾的审核工作。</w:t>
      </w:r>
    </w:p>
    <w:p w14:paraId="7E59B9A2">
      <w:pPr>
        <w:numPr>
          <w:ilvl w:val="0"/>
          <w:numId w:val="0"/>
        </w:numPr>
        <w:ind w:firstLine="616" w:firstLineChars="200"/>
        <w:rPr>
          <w:rFonts w:hint="eastAsia"/>
          <w:sz w:val="32"/>
          <w:szCs w:val="32"/>
          <w:lang w:val="en-US" w:eastAsia="zh-CN"/>
        </w:rPr>
      </w:pPr>
      <w:r>
        <w:rPr>
          <w:rFonts w:hint="eastAsia"/>
          <w:sz w:val="32"/>
          <w:szCs w:val="32"/>
          <w:lang w:val="en-US" w:eastAsia="zh-CN"/>
        </w:rPr>
        <w:t>7、负责组织编制城市管理、城市管理综合执法科技创新发展、信息化建设规划并组织实施。</w:t>
      </w:r>
    </w:p>
    <w:p w14:paraId="569A5F7F">
      <w:pPr>
        <w:numPr>
          <w:ilvl w:val="0"/>
          <w:numId w:val="0"/>
        </w:numPr>
        <w:ind w:firstLine="616" w:firstLineChars="200"/>
        <w:rPr>
          <w:rFonts w:hint="eastAsia"/>
          <w:sz w:val="32"/>
          <w:szCs w:val="32"/>
          <w:lang w:val="en-US" w:eastAsia="zh-CN"/>
        </w:rPr>
      </w:pPr>
      <w:r>
        <w:rPr>
          <w:rFonts w:hint="eastAsia"/>
          <w:sz w:val="32"/>
          <w:szCs w:val="32"/>
          <w:lang w:val="en-US" w:eastAsia="zh-CN"/>
        </w:rPr>
        <w:t>8、负责县城建成区数字化城市管理工作，负责全县数字管理系统建设、运行工作。</w:t>
      </w:r>
    </w:p>
    <w:p w14:paraId="0491AD1C">
      <w:pPr>
        <w:numPr>
          <w:ilvl w:val="0"/>
          <w:numId w:val="0"/>
        </w:numPr>
        <w:ind w:firstLine="616" w:firstLineChars="200"/>
        <w:rPr>
          <w:rFonts w:hint="eastAsia"/>
          <w:sz w:val="32"/>
          <w:szCs w:val="32"/>
          <w:lang w:val="en-US" w:eastAsia="zh-CN"/>
        </w:rPr>
      </w:pPr>
      <w:r>
        <w:rPr>
          <w:rFonts w:hint="eastAsia"/>
          <w:sz w:val="32"/>
          <w:szCs w:val="32"/>
          <w:lang w:val="en-US" w:eastAsia="zh-CN"/>
        </w:rPr>
        <w:t>9、在县城建成区内行使以下处罚权：负责市政公共设施运行管理、户外广告设置管理、园林绿化管理方面法律法规规定的行政处罚权；负责住房城乡建设领域法律法规规定的全部行政处罚权；负责原县环境保护局、原县工商局、原县食品药品监管局、县公安局、县水务局划入综合执法工作，以及经省人民政府同意或批准依法行使的其他权力。</w:t>
      </w:r>
    </w:p>
    <w:p w14:paraId="170EA6FD">
      <w:pPr>
        <w:numPr>
          <w:ilvl w:val="0"/>
          <w:numId w:val="0"/>
        </w:numPr>
        <w:ind w:firstLine="616" w:firstLineChars="200"/>
        <w:rPr>
          <w:rFonts w:hint="eastAsia"/>
          <w:sz w:val="32"/>
          <w:szCs w:val="32"/>
          <w:lang w:val="en-US" w:eastAsia="zh-CN"/>
        </w:rPr>
      </w:pPr>
      <w:r>
        <w:rPr>
          <w:rFonts w:hint="eastAsia"/>
          <w:sz w:val="32"/>
          <w:szCs w:val="32"/>
          <w:lang w:val="en-US" w:eastAsia="zh-CN"/>
        </w:rPr>
        <w:t>10、研究部署全县城市管理和综合执法方面的重大事项，协调解决城市管理重大问题；履行全县城市管理和综合执法的行业主管职责。</w:t>
      </w:r>
    </w:p>
    <w:p w14:paraId="67287CAF">
      <w:pPr>
        <w:numPr>
          <w:ilvl w:val="0"/>
          <w:numId w:val="0"/>
        </w:numPr>
        <w:ind w:firstLine="616" w:firstLineChars="200"/>
        <w:rPr>
          <w:rFonts w:hint="eastAsia"/>
          <w:sz w:val="32"/>
          <w:szCs w:val="32"/>
          <w:lang w:val="en-US" w:eastAsia="zh-CN"/>
        </w:rPr>
      </w:pPr>
      <w:r>
        <w:rPr>
          <w:rFonts w:hint="eastAsia"/>
          <w:sz w:val="32"/>
          <w:szCs w:val="32"/>
          <w:lang w:val="en-US" w:eastAsia="zh-CN"/>
        </w:rPr>
        <w:t>11、承担县城市管理委员会办公室的具体工作。</w:t>
      </w:r>
    </w:p>
    <w:p w14:paraId="22E1E10F">
      <w:pPr>
        <w:numPr>
          <w:ilvl w:val="0"/>
          <w:numId w:val="0"/>
        </w:numPr>
        <w:ind w:firstLine="616" w:firstLineChars="200"/>
        <w:rPr>
          <w:rFonts w:hint="eastAsia"/>
          <w:sz w:val="32"/>
          <w:szCs w:val="32"/>
          <w:lang w:val="en-US" w:eastAsia="zh-CN"/>
        </w:rPr>
      </w:pPr>
      <w:r>
        <w:rPr>
          <w:rFonts w:hint="eastAsia"/>
          <w:sz w:val="32"/>
          <w:szCs w:val="32"/>
          <w:lang w:val="en-US" w:eastAsia="zh-CN"/>
        </w:rPr>
        <w:t>12、承办县委、县政府及上级城市管理和综合执法部门交办的其他事项。</w:t>
      </w:r>
    </w:p>
    <w:p w14:paraId="4F26A182">
      <w:pPr>
        <w:numPr>
          <w:ilvl w:val="0"/>
          <w:numId w:val="0"/>
        </w:numPr>
        <w:ind w:leftChars="0" w:firstLine="616" w:firstLineChars="200"/>
        <w:rPr>
          <w:rFonts w:hint="eastAsia"/>
          <w:b/>
          <w:bCs/>
          <w:sz w:val="32"/>
          <w:szCs w:val="32"/>
          <w:lang w:eastAsia="zh-CN"/>
        </w:rPr>
      </w:pPr>
      <w:r>
        <w:rPr>
          <w:rFonts w:hint="eastAsia"/>
          <w:b/>
          <w:bCs/>
          <w:sz w:val="32"/>
          <w:szCs w:val="32"/>
          <w:lang w:eastAsia="zh-CN"/>
        </w:rPr>
        <w:t>人员编制；</w:t>
      </w:r>
    </w:p>
    <w:p w14:paraId="2FF8D358">
      <w:pPr>
        <w:numPr>
          <w:ilvl w:val="0"/>
          <w:numId w:val="0"/>
        </w:numPr>
        <w:ind w:firstLine="616" w:firstLineChars="200"/>
        <w:rPr>
          <w:rFonts w:hint="default"/>
          <w:sz w:val="32"/>
          <w:szCs w:val="32"/>
          <w:lang w:val="en-US" w:eastAsia="zh-CN"/>
        </w:rPr>
      </w:pPr>
      <w:r>
        <w:rPr>
          <w:rFonts w:hint="eastAsia"/>
          <w:sz w:val="32"/>
          <w:szCs w:val="32"/>
          <w:lang w:val="en-US" w:eastAsia="zh-CN"/>
        </w:rPr>
        <w:t>县城市管理和综合执法局核定行政编制2名，行政执法专项编制68名。设局长1名，副局长3名；正股级领导职数13名（含专职党务工作者1名），副股级领导职数19名。后勤服务编制22名</w:t>
      </w:r>
    </w:p>
    <w:p w14:paraId="0CDBC910">
      <w:pPr>
        <w:numPr>
          <w:ilvl w:val="0"/>
          <w:numId w:val="0"/>
        </w:numPr>
        <w:ind w:firstLine="616" w:firstLineChars="200"/>
        <w:rPr>
          <w:rFonts w:hint="eastAsia"/>
          <w:b/>
          <w:bCs/>
          <w:sz w:val="32"/>
          <w:szCs w:val="32"/>
          <w:lang w:eastAsia="zh-CN"/>
        </w:rPr>
      </w:pPr>
      <w:r>
        <w:rPr>
          <w:rFonts w:hint="eastAsia"/>
          <w:b/>
          <w:bCs/>
          <w:sz w:val="32"/>
          <w:szCs w:val="32"/>
          <w:lang w:eastAsia="zh-CN"/>
        </w:rPr>
        <w:t>属下事业单位设置情况：</w:t>
      </w:r>
    </w:p>
    <w:p w14:paraId="5D72157E">
      <w:pPr>
        <w:numPr>
          <w:ilvl w:val="0"/>
          <w:numId w:val="0"/>
        </w:numPr>
        <w:rPr>
          <w:rFonts w:hint="default"/>
          <w:b/>
          <w:bCs/>
          <w:sz w:val="32"/>
          <w:szCs w:val="32"/>
          <w:lang w:val="en-US" w:eastAsia="zh-CN"/>
        </w:rPr>
      </w:pPr>
      <w:r>
        <w:rPr>
          <w:rFonts w:hint="eastAsia"/>
          <w:b/>
          <w:bCs/>
          <w:sz w:val="32"/>
          <w:szCs w:val="32"/>
          <w:lang w:val="en-US" w:eastAsia="zh-CN"/>
        </w:rPr>
        <w:t xml:space="preserve">   </w:t>
      </w:r>
      <w:r>
        <w:rPr>
          <w:rFonts w:hint="eastAsia"/>
          <w:b w:val="0"/>
          <w:bCs w:val="0"/>
          <w:sz w:val="32"/>
          <w:szCs w:val="32"/>
          <w:lang w:val="en-US" w:eastAsia="zh-CN"/>
        </w:rPr>
        <w:t xml:space="preserve"> 局属下有2个公益二类事业单位，分别为阳西县市政服务中心及阳西县市容环卫管理中心。</w:t>
      </w:r>
      <w:r>
        <w:rPr>
          <w:rFonts w:hint="eastAsia"/>
          <w:sz w:val="32"/>
          <w:szCs w:val="32"/>
          <w:lang w:val="en-US" w:eastAsia="zh-CN"/>
        </w:rPr>
        <w:t>局属下阳西县市政服务中心核定公益二类事业编制数17名；局属下阳西县市容环卫管理中心核定公益二类事业编制数17名。</w:t>
      </w:r>
    </w:p>
    <w:p w14:paraId="7C0D12D4">
      <w:pPr>
        <w:ind w:firstLine="616" w:firstLineChars="200"/>
        <w:rPr>
          <w:rFonts w:hint="eastAsia" w:eastAsia="仿宋_GB2312"/>
          <w:b/>
          <w:sz w:val="32"/>
          <w:szCs w:val="32"/>
          <w:lang w:eastAsia="zh-CN"/>
        </w:rPr>
      </w:pPr>
      <w:r>
        <w:rPr>
          <w:rFonts w:hint="eastAsia"/>
          <w:b/>
          <w:sz w:val="32"/>
          <w:szCs w:val="32"/>
          <w:lang w:eastAsia="zh-CN"/>
        </w:rPr>
        <w:t>实有</w:t>
      </w:r>
      <w:r>
        <w:rPr>
          <w:rFonts w:hint="eastAsia"/>
          <w:b/>
          <w:sz w:val="32"/>
          <w:szCs w:val="32"/>
        </w:rPr>
        <w:t>人员情况</w:t>
      </w:r>
      <w:r>
        <w:rPr>
          <w:rFonts w:hint="eastAsia"/>
          <w:b/>
          <w:sz w:val="32"/>
          <w:szCs w:val="32"/>
          <w:lang w:eastAsia="zh-CN"/>
        </w:rPr>
        <w:t>：</w:t>
      </w:r>
    </w:p>
    <w:p w14:paraId="6885BFF4">
      <w:pPr>
        <w:ind w:firstLine="616" w:firstLineChars="200"/>
        <w:rPr>
          <w:rFonts w:hint="eastAsia" w:ascii="仿宋" w:hAnsi="仿宋" w:eastAsia="仿宋"/>
          <w:sz w:val="32"/>
          <w:szCs w:val="32"/>
        </w:rPr>
      </w:pPr>
      <w:r>
        <w:rPr>
          <w:rFonts w:hint="eastAsia"/>
          <w:sz w:val="32"/>
          <w:szCs w:val="32"/>
        </w:rPr>
        <w:t>县综合执法局</w:t>
      </w:r>
      <w:r>
        <w:rPr>
          <w:rFonts w:hint="eastAsia"/>
          <w:sz w:val="32"/>
          <w:szCs w:val="32"/>
          <w:lang w:val="en-US" w:eastAsia="zh-CN"/>
        </w:rPr>
        <w:t>机关</w:t>
      </w:r>
      <w:r>
        <w:rPr>
          <w:rFonts w:hint="eastAsia"/>
          <w:sz w:val="32"/>
          <w:szCs w:val="32"/>
        </w:rPr>
        <w:t>现有</w:t>
      </w:r>
      <w:r>
        <w:rPr>
          <w:rFonts w:hint="eastAsia"/>
          <w:sz w:val="32"/>
          <w:szCs w:val="32"/>
          <w:lang w:val="en-US" w:eastAsia="zh-CN"/>
        </w:rPr>
        <w:t>在职</w:t>
      </w:r>
      <w:r>
        <w:rPr>
          <w:rFonts w:hint="eastAsia"/>
          <w:sz w:val="32"/>
          <w:szCs w:val="32"/>
        </w:rPr>
        <w:t>人员</w:t>
      </w:r>
      <w:r>
        <w:rPr>
          <w:rFonts w:hint="eastAsia"/>
          <w:sz w:val="32"/>
          <w:szCs w:val="32"/>
          <w:lang w:val="en-US" w:eastAsia="zh-CN"/>
        </w:rPr>
        <w:t>84</w:t>
      </w:r>
      <w:r>
        <w:rPr>
          <w:rFonts w:hint="eastAsia"/>
          <w:sz w:val="32"/>
          <w:szCs w:val="32"/>
        </w:rPr>
        <w:t>人，其中：财拨</w:t>
      </w:r>
      <w:r>
        <w:rPr>
          <w:rFonts w:hint="eastAsia"/>
          <w:sz w:val="32"/>
          <w:szCs w:val="32"/>
          <w:lang w:val="en-US" w:eastAsia="zh-CN"/>
        </w:rPr>
        <w:t>行政</w:t>
      </w:r>
      <w:r>
        <w:rPr>
          <w:rFonts w:hint="eastAsia"/>
          <w:sz w:val="32"/>
          <w:szCs w:val="32"/>
        </w:rPr>
        <w:t>在职</w:t>
      </w:r>
      <w:r>
        <w:rPr>
          <w:rFonts w:hint="eastAsia"/>
          <w:sz w:val="32"/>
          <w:szCs w:val="32"/>
          <w:lang w:val="en-US" w:eastAsia="zh-CN"/>
        </w:rPr>
        <w:t>34</w:t>
      </w:r>
      <w:r>
        <w:rPr>
          <w:rFonts w:hint="eastAsia"/>
          <w:sz w:val="32"/>
          <w:szCs w:val="32"/>
        </w:rPr>
        <w:t>人，</w:t>
      </w:r>
      <w:r>
        <w:rPr>
          <w:rFonts w:hint="eastAsia"/>
          <w:sz w:val="32"/>
          <w:szCs w:val="32"/>
          <w:lang w:val="en-US" w:eastAsia="zh-CN"/>
        </w:rPr>
        <w:t>财拨</w:t>
      </w:r>
      <w:r>
        <w:rPr>
          <w:rFonts w:hint="eastAsia"/>
          <w:sz w:val="32"/>
          <w:szCs w:val="32"/>
        </w:rPr>
        <w:t>事业</w:t>
      </w:r>
      <w:r>
        <w:rPr>
          <w:rFonts w:hint="eastAsia"/>
          <w:sz w:val="32"/>
          <w:szCs w:val="32"/>
          <w:lang w:val="en-US" w:eastAsia="zh-CN"/>
        </w:rPr>
        <w:t>在职30</w:t>
      </w:r>
      <w:r>
        <w:rPr>
          <w:rFonts w:hint="eastAsia"/>
          <w:sz w:val="32"/>
          <w:szCs w:val="32"/>
        </w:rPr>
        <w:t>人</w:t>
      </w:r>
      <w:r>
        <w:rPr>
          <w:rFonts w:hint="eastAsia"/>
          <w:sz w:val="32"/>
          <w:szCs w:val="32"/>
          <w:lang w:eastAsia="zh-CN"/>
        </w:rPr>
        <w:t>，</w:t>
      </w:r>
      <w:r>
        <w:rPr>
          <w:rFonts w:hint="eastAsia"/>
          <w:sz w:val="32"/>
          <w:szCs w:val="32"/>
          <w:lang w:val="en-US" w:eastAsia="zh-CN"/>
        </w:rPr>
        <w:t>财拨后勤服务人员20人；局属下阳西县市政服务中心财拨事业在职17</w:t>
      </w:r>
      <w:r>
        <w:rPr>
          <w:rFonts w:hint="eastAsia" w:ascii="仿宋" w:hAnsi="仿宋" w:eastAsia="仿宋"/>
          <w:sz w:val="32"/>
          <w:szCs w:val="32"/>
          <w:lang w:val="en-US" w:eastAsia="zh-CN"/>
        </w:rPr>
        <w:t>人</w:t>
      </w:r>
      <w:r>
        <w:rPr>
          <w:rFonts w:hint="eastAsia"/>
          <w:sz w:val="32"/>
          <w:szCs w:val="32"/>
          <w:lang w:val="en-US" w:eastAsia="zh-CN"/>
        </w:rPr>
        <w:t>；局属下阳西县市容环卫中心财拨事业在职16人。</w:t>
      </w:r>
    </w:p>
    <w:p w14:paraId="34576261">
      <w:pPr>
        <w:ind w:firstLine="616" w:firstLineChars="200"/>
        <w:rPr>
          <w:rFonts w:hint="eastAsia"/>
          <w:b/>
          <w:bCs/>
          <w:sz w:val="32"/>
          <w:szCs w:val="32"/>
        </w:rPr>
      </w:pPr>
      <w:r>
        <w:rPr>
          <w:rFonts w:hint="eastAsia"/>
          <w:b/>
          <w:bCs/>
          <w:sz w:val="32"/>
          <w:szCs w:val="32"/>
          <w:lang w:eastAsia="zh-CN"/>
        </w:rPr>
        <w:t>经费拨款方式：</w:t>
      </w:r>
    </w:p>
    <w:p w14:paraId="2A20A8E7">
      <w:pPr>
        <w:ind w:firstLine="616" w:firstLineChars="200"/>
        <w:rPr>
          <w:rFonts w:hint="eastAsia"/>
          <w:sz w:val="32"/>
          <w:szCs w:val="32"/>
        </w:rPr>
      </w:pPr>
      <w:r>
        <w:rPr>
          <w:rFonts w:hint="eastAsia"/>
          <w:sz w:val="32"/>
          <w:szCs w:val="32"/>
        </w:rPr>
        <w:t>县综合执法局的服务性收费实行“收支两条线”管理，人员经费由财政核拨，具体按县府大院标准执行。</w:t>
      </w:r>
    </w:p>
    <w:p w14:paraId="6EE51DE3">
      <w:pPr>
        <w:keepNext w:val="0"/>
        <w:keepLines w:val="0"/>
        <w:pageBreakBefore w:val="0"/>
        <w:widowControl w:val="0"/>
        <w:numPr>
          <w:ilvl w:val="0"/>
          <w:numId w:val="0"/>
        </w:numPr>
        <w:kinsoku/>
        <w:wordWrap/>
        <w:overflowPunct/>
        <w:topLinePunct w:val="0"/>
        <w:autoSpaceDE/>
        <w:autoSpaceDN/>
        <w:bidi w:val="0"/>
        <w:adjustRightInd/>
        <w:snapToGrid/>
        <w:ind w:firstLine="616" w:firstLineChars="200"/>
        <w:textAlignment w:val="auto"/>
        <w:rPr>
          <w:rFonts w:hint="eastAsia" w:ascii="仿宋" w:hAnsi="仿宋" w:eastAsia="仿宋" w:cs="仿宋"/>
          <w:b/>
          <w:color w:val="auto"/>
        </w:rPr>
      </w:pPr>
      <w:r>
        <w:rPr>
          <w:rFonts w:hint="eastAsia" w:ascii="仿宋" w:hAnsi="仿宋" w:eastAsia="仿宋" w:cs="仿宋"/>
          <w:b/>
          <w:color w:val="auto"/>
          <w:lang w:eastAsia="zh-CN"/>
        </w:rPr>
        <w:t>二、</w:t>
      </w:r>
      <w:r>
        <w:rPr>
          <w:rFonts w:hint="eastAsia" w:ascii="仿宋" w:hAnsi="仿宋" w:eastAsia="仿宋" w:cs="仿宋"/>
          <w:b/>
          <w:color w:val="auto"/>
        </w:rPr>
        <w:t>年度总体工作和重点工作任务</w:t>
      </w:r>
      <w:bookmarkEnd w:id="5"/>
      <w:bookmarkEnd w:id="6"/>
      <w:r>
        <w:rPr>
          <w:rFonts w:hint="eastAsia" w:ascii="仿宋" w:hAnsi="仿宋" w:eastAsia="仿宋" w:cs="仿宋"/>
          <w:b/>
          <w:color w:val="auto"/>
        </w:rPr>
        <w:t>。</w:t>
      </w:r>
    </w:p>
    <w:p w14:paraId="3FB5787D">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Hans"/>
        </w:rPr>
        <w:t>以来，在县委县政府的正确领导下，我局以创建国家卫生县和省卫生县城复审工作为契机，紧紧围绕全局工作重点和城市管理热点、难点问题，扎实开展市容市貌管理、违法建设治理、卫生县城创建等中心工作，圆满完成</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Hans"/>
        </w:rPr>
        <w:t>年各项工作任务，城市面貌得到有力改善。现将相关工作总结</w:t>
      </w:r>
      <w:r>
        <w:rPr>
          <w:rFonts w:hint="eastAsia"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lang w:val="en-US" w:eastAsia="zh-Hans"/>
        </w:rPr>
        <w:t>下：</w:t>
      </w:r>
    </w:p>
    <w:p w14:paraId="5C1EB2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0"/>
        <w:rPr>
          <w:rFonts w:hint="eastAsia" w:ascii="仿宋_GB2312" w:hAnsi="仿宋_GB2312" w:eastAsia="仿宋_GB2312" w:cs="仿宋_GB2312"/>
          <w:b/>
          <w:bCs/>
          <w:sz w:val="32"/>
          <w:szCs w:val="32"/>
          <w:lang w:val="en-US" w:eastAsia="zh-Hans"/>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en-US" w:eastAsia="zh-Hans"/>
        </w:rPr>
        <w:t>强化党建引领，全面筑牢城管队伍廉洁防线</w:t>
      </w:r>
    </w:p>
    <w:p w14:paraId="6DE93EFF">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16" w:firstLineChars="200"/>
        <w:jc w:val="left"/>
        <w:textAlignment w:val="auto"/>
        <w:rPr>
          <w:rFonts w:hint="eastAsia"/>
          <w:lang w:val="en-US" w:eastAsia="zh-CN"/>
        </w:rPr>
      </w:pPr>
      <w:r>
        <w:rPr>
          <w:rFonts w:hint="eastAsia" w:ascii="仿宋_GB2312" w:hAnsi="仿宋_GB2312" w:eastAsia="仿宋_GB2312" w:cs="仿宋_GB2312"/>
          <w:color w:val="auto"/>
          <w:sz w:val="32"/>
          <w:szCs w:val="32"/>
          <w:lang w:val="en-US" w:eastAsia="zh-Hans"/>
        </w:rPr>
        <w:t>今年以来，我局坚持以党的二十大精神为指引,深入学习贯彻习近平总书记的重要讲话和重要指示精神，扎实开展党纪学习教育工作,为城管执法工作高效有序开展提供坚强的纪律和作风保障</w:t>
      </w:r>
      <w:r>
        <w:rPr>
          <w:rFonts w:hint="eastAsia" w:ascii="仿宋_GB2312" w:hAnsi="仿宋_GB2312" w:cs="仿宋_GB2312"/>
          <w:color w:val="auto"/>
          <w:sz w:val="32"/>
          <w:szCs w:val="32"/>
          <w:lang w:val="en-US" w:eastAsia="zh-CN"/>
        </w:rPr>
        <w:t>。</w:t>
      </w:r>
    </w:p>
    <w:p w14:paraId="5C88EA47">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color w:val="auto"/>
          <w:sz w:val="32"/>
          <w:szCs w:val="32"/>
          <w:lang w:val="en-US" w:eastAsia="zh-Hans"/>
        </w:rPr>
      </w:pPr>
      <w:r>
        <w:rPr>
          <w:rFonts w:hint="eastAsia" w:ascii="仿宋_GB2312" w:hAnsi="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en-US" w:eastAsia="zh-Hans"/>
        </w:rPr>
        <w:t>严格落实党风廉政建设责任制。</w:t>
      </w:r>
      <w:r>
        <w:rPr>
          <w:rFonts w:hint="eastAsia" w:ascii="仿宋_GB2312" w:hAnsi="仿宋_GB2312" w:eastAsia="仿宋_GB2312" w:cs="仿宋_GB2312"/>
          <w:color w:val="auto"/>
          <w:sz w:val="32"/>
          <w:szCs w:val="32"/>
          <w:lang w:val="en-US" w:eastAsia="zh-Hans"/>
        </w:rPr>
        <w:t>一是严格落实“第一议题”制度、“三会一课”制度和组织生活会制度，推动党史学习教育常态化长效化。深刻领会习近平总书记在党的二十届三中全会上的重要讲话精神和党的二十届三中全会精神和习近平总书记关于力戒形式主义、官僚主义重要论述精神。二是由机关党委牵头，发动党员干部积极参与，安排了34名党员干部联系服务挂点学校儒洞镇中心小学48名困难师生。结合春节、中秋节等重要时间节点多次组织干部职工走访慰问儒洞镇中心小学困难师生，积极宣传和讲解我县的相关资助政策，为困难学生并送上慰问金、慰问品，切实做到“看问留跟”；三是构建机关作风持续好转的长效机制。结合县纪委关于作风建设的相关文件要求，迅速掀起开展违规经商、违规吃喝等突出问题的专项整治行动热潮，观看廉政教育警示教育片，敲响警钟，督促党员干部提高政治站位。</w:t>
      </w:r>
    </w:p>
    <w:p w14:paraId="61778641">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16" w:firstLineChars="200"/>
        <w:jc w:val="left"/>
        <w:textAlignment w:val="auto"/>
        <w:rPr>
          <w:rFonts w:hint="default"/>
          <w:lang w:val="en-US" w:eastAsia="zh-CN"/>
        </w:rPr>
      </w:pPr>
      <w:r>
        <w:rPr>
          <w:rFonts w:hint="eastAsia" w:ascii="仿宋_GB2312" w:hAnsi="仿宋_GB2312" w:cs="仿宋_GB2312"/>
          <w:b/>
          <w:bCs/>
          <w:i w:val="0"/>
          <w:iCs w:val="0"/>
          <w:caps w:val="0"/>
          <w:color w:val="auto"/>
          <w:spacing w:val="0"/>
          <w:sz w:val="32"/>
          <w:szCs w:val="32"/>
          <w:shd w:val="clear" w:fill="FFFFFF"/>
          <w:lang w:val="en-US" w:eastAsia="zh-CN"/>
        </w:rPr>
        <w:t>（2）</w:t>
      </w:r>
      <w:r>
        <w:rPr>
          <w:rFonts w:hint="eastAsia" w:ascii="仿宋_GB2312" w:hAnsi="仿宋_GB2312" w:eastAsia="仿宋_GB2312" w:cs="仿宋_GB2312"/>
          <w:b/>
          <w:bCs/>
          <w:i w:val="0"/>
          <w:iCs w:val="0"/>
          <w:caps w:val="0"/>
          <w:color w:val="auto"/>
          <w:spacing w:val="0"/>
          <w:sz w:val="32"/>
          <w:szCs w:val="32"/>
          <w:shd w:val="clear" w:fill="FFFFFF"/>
          <w:lang w:val="en-US" w:eastAsia="zh-CN"/>
        </w:rPr>
        <w:t>提高党员干部廉洁自律意识。</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我局重点落实党纪学习教育工作，提高党员干部的廉洁自律意识，作为做好党风廉政建设和反腐倡廉工作的基础。今年以来，在党组会议上传达学习了习近平总书记关于党纪学习教育的重要论述和习近平总书记《关于党风廉政建设和反腐败斗争论述摘编》，并学习了违反中央八项规定精神典型问题的通报、党员干部公职人员酒驾醉驾典型问题的通报、严重违纪违法典型案例的通报。观看了警示教育片《欲望囚徒》和国防教育电影《生死坚守》，并组织开展参观阳江围歼战革命烈士纪念碑主题党日活动，通过多种形式把党风廉政教育建设贯穿于城市管理工作的始终，构筑牢固的拒腐防变思想防线</w:t>
      </w:r>
      <w:r>
        <w:rPr>
          <w:rFonts w:hint="eastAsia" w:ascii="仿宋_GB2312" w:hAnsi="仿宋_GB2312" w:cs="仿宋_GB2312"/>
          <w:b w:val="0"/>
          <w:bCs w:val="0"/>
          <w:i w:val="0"/>
          <w:iCs w:val="0"/>
          <w:caps w:val="0"/>
          <w:color w:val="auto"/>
          <w:spacing w:val="0"/>
          <w:sz w:val="32"/>
          <w:szCs w:val="32"/>
          <w:shd w:val="clear" w:fill="FFFFFF"/>
          <w:lang w:val="en-US" w:eastAsia="zh-CN"/>
        </w:rPr>
        <w:t>。</w:t>
      </w:r>
    </w:p>
    <w:p w14:paraId="3F1E57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default"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2、重点工作开展情况</w:t>
      </w:r>
    </w:p>
    <w:p w14:paraId="116E66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（1）扎</w:t>
      </w:r>
      <w:r>
        <w:rPr>
          <w:rFonts w:hint="eastAsia" w:ascii="仿宋_GB2312" w:hAnsi="仿宋_GB2312" w:eastAsia="仿宋_GB2312" w:cs="仿宋_GB2312"/>
          <w:b/>
          <w:bCs/>
          <w:sz w:val="32"/>
          <w:szCs w:val="32"/>
          <w:lang w:val="en-US" w:eastAsia="zh-CN"/>
        </w:rPr>
        <w:t>实推进市容管理，着力营造高品质城市生活空间</w:t>
      </w:r>
    </w:p>
    <w:p w14:paraId="257BAE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2024年，县城管综合执法局在县委、县政府的领导下，认真做好城市管理和综合执法工作，狠抓队伍建设和城市管理工作两大任务，团结一致、勇于拼搏，克服怕苦畏难思想，扎扎实实开展各项工作</w:t>
      </w:r>
      <w:r>
        <w:rPr>
          <w:rFonts w:hint="eastAsia" w:ascii="仿宋_GB2312" w:hAnsi="仿宋_GB2312" w:cs="仿宋_GB2312"/>
          <w:b w:val="0"/>
          <w:bCs w:val="0"/>
          <w:sz w:val="32"/>
          <w:szCs w:val="32"/>
          <w:lang w:val="en-US" w:eastAsia="zh-CN"/>
        </w:rPr>
        <w:t>。</w:t>
      </w:r>
    </w:p>
    <w:p w14:paraId="02E581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&lt;1&gt;市容秩序管控有力</w:t>
      </w:r>
    </w:p>
    <w:p w14:paraId="0400DE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日常执法巡查整治与县城人居环境整治提升工作相结合。在县城内各大农贸市场、马路市场、学校、公园、广场以及主次干道等路段场所开展日常巡查整治，对群众进行法律法规宣传，营造全民参与的良好氛围，做到巡查整治常态化巩固整治效果。组织开展县城人居环境整治提升行动，对粤丰广场、福达名苑、岗平路口、滨江北路等区域占道经营流动摊贩进行整治，取缔“马路市场”还路于民，过程中坚持宣传教育与处罚相结合文明执法，劝离占道经营流动摊贩，清理占道杂物，对经多次教育劝离仍不改正的依法暂扣其经营工具。</w:t>
      </w:r>
    </w:p>
    <w:p w14:paraId="79780E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加强流动摊贩占道经营整治力度，大力整治“以路为市”占道经营违法行为。推动社会资本建设夜市集中经营点，目前“张公桥不夜城”“东方财富市场不夜城”“东湖广场不夜城”已建成并投入运营，有效引流夜间占道经营流动摊贩入市经营，减少占道经营违法行为的发生。同时通过现场执法普法宣传、微信群宣传等方式引导疏导点摊贩规范经营，要求自备垃圾、油污收集桶。目前经过“疏堵结合”，县城情侣路、粤丰广场等流动摊贩占道经营严重的区域已得到有效治理，群众投诉少了，县城人居环境改善提升了。</w:t>
      </w:r>
    </w:p>
    <w:p w14:paraId="10B3A8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采取定人定岗值守的执法方式巩固整治效果。因县城内不同区域不同经营时间的特点，各执法大队根据工作要求无缝衔接对各自辖区的农贸市场周边、沿街商铺和公园广场等公共场所的占道经营进行逐一整治。对于西湖公园、粤丰广场、岗平路口、福达名苑、维纳斯酒店周边、情侣路等占道经营严重区域，安排执法人员进行长期值守。截止2024年11月15日，我局共出动执法人员11660人次，出动3239车次，整治清理占道经营摊档47427档次，整治乱堆放203处，整治乱拉挂广告横幅148处，整治清理乱张贴7098处，整治乱搭建488处，整治乱停放120处</w:t>
      </w:r>
      <w:r>
        <w:rPr>
          <w:rFonts w:hint="eastAsia" w:ascii="仿宋_GB2312" w:hAnsi="仿宋_GB2312" w:cs="仿宋_GB2312"/>
          <w:b w:val="0"/>
          <w:bCs w:val="0"/>
          <w:sz w:val="32"/>
          <w:szCs w:val="32"/>
          <w:lang w:val="en-US" w:eastAsia="zh-CN"/>
        </w:rPr>
        <w:t>。</w:t>
      </w:r>
    </w:p>
    <w:p w14:paraId="741000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&gt;违建治理推进有序</w:t>
      </w:r>
    </w:p>
    <w:p w14:paraId="139C61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我局扎实推进违法建设治理工作，有效遏制违建发生，对新增违建严打管控。我局采取日常巡查与群众举报相结合的方式，对县城规划区范围内的违法建设情况进行多维度排查。同时安排执法人员周末、节假日轮流值班，杜绝利用周末、节假日等时间偷建抢建行为。在日常巡查中坚持细查严管，对出现堆放砖瓦、黄沙、水泥等施工迹象的，执法人员第一时间进行调查询问，一经发现违建苗头，及时控停施工现场，并责令其限期整改，将违法建设遏制在萌芽状态。对于涉及占用公共区域乱搭乱建行为，按照“即查即拆”原则，坚决予以查处，确保对该类违法建设做到早发现、早制止、早查处、早拆除。截止2024年11月，我局共拆除违法建设25宗，总建筑面积为590.24平方米；共处罚违法建设19宗，总建筑面积为1262.78平方米</w:t>
      </w:r>
      <w:r>
        <w:rPr>
          <w:rFonts w:hint="eastAsia" w:ascii="仿宋_GB2312" w:hAnsi="仿宋_GB2312" w:cs="仿宋_GB2312"/>
          <w:b w:val="0"/>
          <w:bCs w:val="0"/>
          <w:sz w:val="32"/>
          <w:szCs w:val="32"/>
          <w:lang w:val="en-US" w:eastAsia="zh-CN"/>
        </w:rPr>
        <w:t>。</w:t>
      </w:r>
    </w:p>
    <w:p w14:paraId="11D073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1"/>
        <w:rPr>
          <w:rFonts w:hint="eastAsia"/>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3</w:t>
      </w:r>
      <w:r>
        <w:rPr>
          <w:rFonts w:hint="eastAsia" w:ascii="仿宋_GB2312" w:hAnsi="仿宋_GB2312" w:eastAsia="仿宋_GB2312" w:cs="仿宋_GB2312"/>
          <w:b/>
          <w:bCs/>
          <w:sz w:val="32"/>
          <w:szCs w:val="32"/>
          <w:lang w:val="en-US" w:eastAsia="zh-CN"/>
        </w:rPr>
        <w:t>&gt;设施管护持续升级</w:t>
      </w:r>
    </w:p>
    <w:p w14:paraId="3A3DDB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2024年，我局从市政设施维护、绿化管理养护等方面入手，扎实做好市政管理工作。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常态化地对县城内道路、人行道、井盖、栏杆、雨污管网等市政设施进行巡查维修。共维修破损道路550余平方米，处置、扶正加固道路护栏约1800米；更换井盖约200个；清理损坏户外广告约2410平方米，为市民群众创造良好的出行环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加强县城绿化的日常养护管理和做好病虫害的防范工作。我局对县城道路及公园乔灌木、草地和绿篱进行了9次全面的施肥，绿化洒水车作业740车次，修剪绿化树7180棵，台风“摩羯”过境期间加固扶正树木480棵，处理绿化投诉、交通事故损坏树木及有安全隐患的绿化树共45宗；</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常态化对路灯控制柜、配电箱、供电线路等设备进行检测、调校和检修，调正歪斜的路灯杆，排除路灯短路、漏电等隐患，及时更换和维修破损的路灯设施。县城区及国道维修灯具约1517个，更换电缆约2373米，各类灯罩160余个，保证了亮灯率达98%以上</w:t>
      </w:r>
      <w:r>
        <w:rPr>
          <w:rFonts w:hint="eastAsia" w:ascii="仿宋_GB2312" w:hAnsi="仿宋_GB2312" w:cs="仿宋_GB2312"/>
          <w:b w:val="0"/>
          <w:bCs w:val="0"/>
          <w:sz w:val="32"/>
          <w:szCs w:val="32"/>
          <w:lang w:val="en-US" w:eastAsia="zh-CN"/>
        </w:rPr>
        <w:t>。</w:t>
      </w:r>
    </w:p>
    <w:p w14:paraId="0E2DB4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4</w:t>
      </w:r>
      <w:r>
        <w:rPr>
          <w:rFonts w:hint="eastAsia" w:ascii="仿宋_GB2312" w:hAnsi="仿宋_GB2312" w:eastAsia="仿宋_GB2312" w:cs="仿宋_GB2312"/>
          <w:b/>
          <w:bCs/>
          <w:sz w:val="32"/>
          <w:szCs w:val="32"/>
          <w:lang w:val="en-US" w:eastAsia="zh-CN"/>
        </w:rPr>
        <w:t>&gt;绿化品质不断提升</w:t>
      </w:r>
    </w:p>
    <w:p w14:paraId="1BEFA8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加强生态环境保护，高标准打造生态宜居美丽县城，改善人居环境，我局持续推进绿美阳西建设，以实际行动厚植绿色家底，筑牢生态屏障。推进县级国家森林城市建设工作，加强城市公园绿色生态系统建设，持续打造绿化美化优化增添县城绿美景点，加快推进东湖森林公园绿美广东生态建设示范点建设。目前，项目已完成前期工作，已于2024年8月27日完成施工招标，11月1日已核发施工许可证，11月2日施工单位进场开展施工工作。该项目已完成工程量约12%，其中环库段给水管铺设已完成，目前正在开展儿童活动区护脚墙浇筑和滨水步道区域施工工作。下步我局将大力推进县镇村绿化工作，根据职责分工，组织做好县城主干道、公园、公共绿地、建成区房屋前后绿化，积极完成绿化植树任务3000株以上，并对种植的树木做好管护，加强日常巡护和松土除草、病虫害防治等工作，加大古树名木保护力度，以实际行动为阳西添绿增美，着力提升人民群众的获得感和幸福感。</w:t>
      </w:r>
    </w:p>
    <w:p w14:paraId="294FE3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5</w:t>
      </w:r>
      <w:r>
        <w:rPr>
          <w:rFonts w:hint="eastAsia" w:ascii="仿宋_GB2312" w:hAnsi="仿宋_GB2312" w:eastAsia="仿宋_GB2312" w:cs="仿宋_GB2312"/>
          <w:b/>
          <w:bCs/>
          <w:sz w:val="32"/>
          <w:szCs w:val="32"/>
          <w:lang w:val="en-US" w:eastAsia="zh-CN"/>
        </w:rPr>
        <w:t>&gt;垃圾处理科学规范</w:t>
      </w:r>
    </w:p>
    <w:p w14:paraId="288D01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开展县城环境整治专项行动。今年以来，为进一步打造干净整洁的县城环境，根据我县全民创建、“百千万工程”、人居环境整治等工作安排，我局联合运营单位制定了环境整治专项行动方案，分别组织开展了牛皮癣小广告清理、下水道井口清理、绿化带清理、围档空地专项整治以及人居环境整治等专项行动。截至2024年11月20日，累计组织出动人员约4800人次，累计清理牛皮癣小广告约23847处、清理下水道井口约3911个、清理绿化带250.4公里、冲洗人行道27.5公里，清理县城区围挡空地133处。</w:t>
      </w:r>
    </w:p>
    <w:p w14:paraId="034620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认真落实做好县生活垃圾填埋场监督管理工作。今年以来，县生活垃圾填埋场共处理生活垃圾约116106.22吨，外运垃圾至电白粤丰垃圾焚烧厂处理量约45862.08吨。其中县城区处理约50175.38吨，八个乡镇处理约44532.77吨（即日处理县城区生活垃圾约155吨、日处理8个乡镇生活垃圾约137吨）；共处理渗滤液约33837.99吨，其中县垃圾填埋场设备处理渗滤液约26085吨，外运至县中山火炬污水处理厂处理量约7752.99吨。生活垃圾无害化处理率达到100%。</w:t>
      </w:r>
    </w:p>
    <w:p w14:paraId="538229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做好我县建筑垃圾规范化管理工作。今年以来，我局扎实推进建筑垃圾管理各项工作，不定期对我县建筑垃圾堆放情况进行摸底排查，根据排查结果，及时组织人员、安排机械对乱堆放的建筑垃圾进行清理，确保县城市容环境干净整洁，今年以来累计出动车辆、机械共约950台次，清理县城范围内乱堆放的建筑垃圾约7120立方米；组织我局执法人员对管辖区内施工工地、运输单位、处置场所等开展检查、排查工作，摸排相关场所情况，对建筑垃圾的产生源头进行严格监管，严控建筑垃圾运输车辆乱倾倒现象，今年以来，共开展执法检查43次，查处擅自倾倒建筑垃圾行为1宗；加强建筑垃圾源头管控，严格落实建筑垃圾处理方案备案，督促指导建施工单位编制完成建筑垃圾处理方案。今年以来，已完成了我县9个在建工地的建筑垃圾处理方案备案工作；落实建筑垃圾（运输）处置核准制度，指导我县符合核准要求的建筑垃圾运输和处置到我局进行核准审批工作，规范我县建筑垃圾运输和处置工作。截至目前，我县已1家建筑垃圾运输企业和1家建筑垃圾处置企业完成了核准审批工作，颁发了建筑垃圾准运许可证和建筑垃圾核准处置（受纳）许可证</w:t>
      </w:r>
      <w:r>
        <w:rPr>
          <w:rFonts w:hint="eastAsia" w:ascii="仿宋_GB2312" w:hAnsi="仿宋_GB2312" w:cs="仿宋_GB2312"/>
          <w:b w:val="0"/>
          <w:bCs w:val="0"/>
          <w:sz w:val="32"/>
          <w:szCs w:val="32"/>
          <w:lang w:val="en-US" w:eastAsia="zh-CN"/>
        </w:rPr>
        <w:t>。</w:t>
      </w:r>
    </w:p>
    <w:p w14:paraId="259087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6</w:t>
      </w:r>
      <w:r>
        <w:rPr>
          <w:rFonts w:hint="eastAsia" w:ascii="仿宋_GB2312" w:hAnsi="仿宋_GB2312" w:eastAsia="仿宋_GB2312" w:cs="仿宋_GB2312"/>
          <w:b/>
          <w:bCs/>
          <w:sz w:val="32"/>
          <w:szCs w:val="32"/>
          <w:lang w:val="en-US" w:eastAsia="zh-CN"/>
        </w:rPr>
        <w:t>&gt;环卫设施升级完善</w:t>
      </w:r>
    </w:p>
    <w:p w14:paraId="5367BE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组织实施阳西县生活垃圾填埋场三期工程项目。该工程于2022年12月底完成工程招标，2023年3月13日取得《施工许可证》并动工建设。期间，三期工程因受历史遗留问题及用地性质变化影响，需进行设计方案调整变更和用地报批手续完善后再重新实施建设。目前，设计方案调整变更和用地报批工作已完成，工程于2024年3月5日重新复工建设，现正在稳步推进工程建设进度，目前工程已完工，正在完善相关验收手续，预计今年12月份完成验收工作并投入使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组织实施阳西县固体废物资源化利用项目建设工程。为加快解决我县建筑垃圾、大件垃圾以及园林绿化垃圾等固体废物处置困境，推进建筑垃圾等固体废物规范化处理，由我局组织实施阳西县固体废物资源化利用项目建设工程，目前已完成项目用地选址意见征求工作，已编制设计方案，正在审批开展项目前期工作。县分管领导于2024年10月25日组织召开项目工作协调会，初步明确项目建设规模、用地等，正在进一步细化和明确项目的投资模式及资金</w:t>
      </w:r>
      <w:r>
        <w:rPr>
          <w:rFonts w:hint="eastAsia" w:ascii="仿宋_GB2312" w:hAnsi="仿宋_GB2312" w:cs="仿宋_GB2312"/>
          <w:b w:val="0"/>
          <w:bCs w:val="0"/>
          <w:sz w:val="32"/>
          <w:szCs w:val="32"/>
          <w:lang w:val="en-US" w:eastAsia="zh-CN"/>
        </w:rPr>
        <w:t>。</w:t>
      </w:r>
    </w:p>
    <w:p w14:paraId="3AF46E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（2）抓紧抓实重点任务，重点项目建设稳步推进</w:t>
      </w:r>
    </w:p>
    <w:p w14:paraId="74E76E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我局共负责推进13个项目的建设。2024年完工项目共2个，分别为阳西县城小区雨污水管网改造工程、阳西县御景南路建设工程。施工阶段项目共7个，分别为阳西县城东片区路网建设工程、阳西县城湖景北路建设工程、阳西县城育才路北段道路工程、阳西县城滨江路西段(宋康路-新325国道)市政道路及排水排污建设工程、阳西县城滨江北路(宋康东路至污水处理厂段)污水管道改造工程、阳西县体育路高压线落地及市政道路升级改造工程（一期）、阳西县东湖森林公园二期新建及一期提升改造工程（一期）。前期工作阶段项目共4个，分别为：阳西县城滨江路(高垌桥-太平西桥)市政道路及排水排污建设工程、阳西县城排水管网建设工程（第五期）、阳西县城排水管网建设工程（第六期）、阳西县城排水管网建设工程（第七期）</w:t>
      </w:r>
      <w:r>
        <w:rPr>
          <w:rFonts w:hint="eastAsia" w:ascii="仿宋_GB2312" w:hAnsi="仿宋_GB2312" w:cs="仿宋_GB2312"/>
          <w:b w:val="0"/>
          <w:bCs w:val="0"/>
          <w:sz w:val="32"/>
          <w:szCs w:val="32"/>
          <w:lang w:val="en-US" w:eastAsia="zh-CN"/>
        </w:rPr>
        <w:t>。</w:t>
      </w:r>
    </w:p>
    <w:p w14:paraId="755E35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（3）关注民生实事，人民生活进一步改善</w:t>
      </w:r>
    </w:p>
    <w:p w14:paraId="65D92B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1</w:t>
      </w:r>
      <w:r>
        <w:rPr>
          <w:rFonts w:hint="eastAsia" w:ascii="仿宋_GB2312" w:hAnsi="仿宋_GB2312" w:eastAsia="仿宋_GB2312" w:cs="仿宋_GB2312"/>
          <w:b/>
          <w:bCs/>
          <w:sz w:val="32"/>
          <w:szCs w:val="32"/>
          <w:lang w:val="en-US" w:eastAsia="zh-CN"/>
        </w:rPr>
        <w:t>&gt;大力推进十项民生实事重点项目。</w:t>
      </w:r>
      <w:r>
        <w:rPr>
          <w:rFonts w:hint="eastAsia" w:ascii="仿宋_GB2312" w:hAnsi="仿宋_GB2312" w:eastAsia="仿宋_GB2312" w:cs="仿宋_GB2312"/>
          <w:b w:val="0"/>
          <w:bCs w:val="0"/>
          <w:sz w:val="32"/>
          <w:szCs w:val="32"/>
          <w:lang w:val="en-US" w:eastAsia="zh-CN"/>
        </w:rPr>
        <w:t>大力推进民生实事重点项目。2024年由我局负责建设的关系民生实事的项目有一项，为阳西县城小区雨污水管网改造工程，项目于2023年12月进场施工，并于2024年10月3日完成建设</w:t>
      </w:r>
      <w:r>
        <w:rPr>
          <w:rFonts w:hint="eastAsia" w:ascii="仿宋_GB2312" w:hAnsi="仿宋_GB2312" w:cs="仿宋_GB2312"/>
          <w:b w:val="0"/>
          <w:bCs w:val="0"/>
          <w:sz w:val="32"/>
          <w:szCs w:val="32"/>
          <w:lang w:val="en-US" w:eastAsia="zh-CN"/>
        </w:rPr>
        <w:t>。</w:t>
      </w:r>
    </w:p>
    <w:p w14:paraId="498170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&lt;</w:t>
      </w: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&gt;全力解决群众反映的实际问题。</w:t>
      </w:r>
      <w:r>
        <w:rPr>
          <w:rFonts w:hint="eastAsia" w:ascii="仿宋_GB2312" w:hAnsi="仿宋_GB2312" w:eastAsia="仿宋_GB2312" w:cs="仿宋_GB2312"/>
          <w:b w:val="0"/>
          <w:bCs w:val="0"/>
          <w:sz w:val="32"/>
          <w:szCs w:val="32"/>
          <w:lang w:val="en-US" w:eastAsia="zh-CN"/>
        </w:rPr>
        <w:t>城市管理工作与群众生活息息相关，在日常工作中接到群众反映与城市管理方面的热点难点问题较多，我局十分重视做好信访调处工作，设立了12319投诉热线电话，专门处理群众信访及电话投诉工作。今年以来，我局共处理网络问政信件35件，处理12345电话投诉平台转来投诉件2062件，，广东政府网站集约化平台37件，转办信访59件、省一体化信访系统15件、来信来访14件，办结率100%</w:t>
      </w:r>
      <w:r>
        <w:rPr>
          <w:rFonts w:hint="eastAsia" w:ascii="仿宋_GB2312" w:hAnsi="仿宋_GB2312" w:cs="仿宋_GB2312"/>
          <w:b w:val="0"/>
          <w:bCs w:val="0"/>
          <w:sz w:val="32"/>
          <w:szCs w:val="32"/>
          <w:lang w:val="en-US" w:eastAsia="zh-CN"/>
        </w:rPr>
        <w:t>。</w:t>
      </w:r>
    </w:p>
    <w:p w14:paraId="42570F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（4）</w:t>
      </w:r>
      <w:r>
        <w:rPr>
          <w:rFonts w:hint="eastAsia" w:ascii="楷体_GB2312" w:hAnsi="楷体_GB2312" w:eastAsia="楷体_GB2312" w:cs="楷体_GB2312"/>
          <w:b/>
          <w:bCs/>
          <w:color w:val="auto"/>
          <w:sz w:val="32"/>
          <w:szCs w:val="32"/>
          <w:lang w:val="en-US" w:eastAsia="zh-CN"/>
        </w:rPr>
        <w:t>筑牢安全防线，全力做好安全生产工作</w:t>
      </w:r>
    </w:p>
    <w:p w14:paraId="558FE7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持续开展城市市容环境安全综合整治行动。通过日常整治行动，大力改善了县城内占道经营、堆放等阻塞交通要道影响交通安全的情况，大大提高了城区安全系数；</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积极参与燃气安全生产联合检查行动。今年以来，我局共安排执法人员22人次，参与燃气安全检查5次，检查燃气企业56间，有效预防了各类安全事故发生；</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加强建筑施工工地安全执法行动。我局执法大队开展在建工地安全生产大检查9次，出动执法人员192人次，检查在建施工工地52场次；</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深入开展户外广告和招牌设施安全排查工作。今年以来，执法大队开展户外广告隐患排查整治行动1次，对检查中发现存在安全隐患广告牌的当事人发出限期改正通知书，期限内未落实整改的，我局依法组织强制拆除，至今共拆除宋康东路存在安全隐患广告招牌或设施79个，有效保障了人民群众“头顶上的安全”；</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开展环卫安全生产检查工作。我局多次组织人员对县城清扫保洁及垃圾收运一体化项目和县生活垃圾卫生填埋场运营管理项目进行安全生产检查，累计开展检查次数59次，排查整改隐患8处</w:t>
      </w:r>
      <w:r>
        <w:rPr>
          <w:rFonts w:hint="eastAsia" w:ascii="仿宋_GB2312" w:hAnsi="仿宋_GB2312" w:cs="仿宋_GB2312"/>
          <w:b w:val="0"/>
          <w:bCs w:val="0"/>
          <w:sz w:val="32"/>
          <w:szCs w:val="32"/>
          <w:lang w:val="en-US" w:eastAsia="zh-CN"/>
        </w:rPr>
        <w:t>。</w:t>
      </w:r>
    </w:p>
    <w:p w14:paraId="0C8AE8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（5）做好大型活动环境整治，助力打响我县特色名片</w:t>
      </w:r>
    </w:p>
    <w:p w14:paraId="73BFA4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今年以来，我局积极配合做好我局县城大型活动环境整治等工作，为重点活动保驾护航，为打响我县特色名片贡献城管力量。2024年9月22日，以“学用‘千万工程’ 礼赞丰收中国”为主题，坚持以农民为主体，通过系列乡村特色浓郁、农民喜闻乐见且广泛参与的丰收庆祝活动在阳西县西湖公园举行。活动举办期间，我局全力保障本次活动盛大开幕，严格按照工作要求，认真执行，扎实推进，维持现场周边秩序，开展机动巡查、路段值守等工作，劝导占道经营流动摊贩离开，引导机动车非机动车按规定停放，维持市容市貌持续整洁，为广大来宾和市民群众提供一个干净、整洁、靓丽、有序的活动环境，确保活动顺利进行，用实际行动守护着农民丰收的喜悦</w:t>
      </w:r>
      <w:r>
        <w:rPr>
          <w:rFonts w:hint="eastAsia" w:ascii="仿宋_GB2312" w:hAnsi="仿宋_GB2312" w:cs="仿宋_GB2312"/>
          <w:b w:val="0"/>
          <w:bCs w:val="0"/>
          <w:sz w:val="32"/>
          <w:szCs w:val="32"/>
          <w:lang w:val="en-US" w:eastAsia="zh-CN"/>
        </w:rPr>
        <w:t>。</w:t>
      </w:r>
    </w:p>
    <w:p w14:paraId="34F14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default" w:ascii="仿宋_GB2312" w:hAnsi="仿宋_GB2312" w:eastAsia="仿宋_GB2312" w:cs="仿宋_GB2312"/>
          <w:b/>
          <w:bCs/>
          <w:sz w:val="32"/>
          <w:szCs w:val="32"/>
          <w:lang w:val="en-US" w:eastAsia="zh-CN"/>
        </w:rPr>
      </w:pPr>
      <w:r>
        <w:rPr>
          <w:rFonts w:hint="eastAsia" w:ascii="仿宋_GB2312" w:hAnsi="仿宋_GB2312" w:cs="仿宋_GB2312"/>
          <w:b/>
          <w:bCs/>
          <w:sz w:val="32"/>
          <w:szCs w:val="32"/>
          <w:lang w:val="en-US" w:eastAsia="zh-CN"/>
        </w:rPr>
        <w:t>3、存在问题</w:t>
      </w:r>
    </w:p>
    <w:p w14:paraId="1A33CA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bCs/>
          <w:sz w:val="32"/>
          <w:szCs w:val="32"/>
          <w:lang w:val="en-US" w:eastAsia="zh-CN"/>
        </w:rPr>
        <w:t>（1）市政建设项目存在征地拆迁、资金未落实问题。</w:t>
      </w:r>
      <w:r>
        <w:rPr>
          <w:rFonts w:hint="eastAsia" w:ascii="仿宋_GB2312" w:hAnsi="仿宋_GB2312" w:cs="仿宋_GB2312"/>
          <w:b w:val="0"/>
          <w:bCs w:val="0"/>
          <w:sz w:val="32"/>
          <w:szCs w:val="32"/>
          <w:lang w:val="en-US" w:eastAsia="zh-CN"/>
        </w:rPr>
        <w:t>一是市政建设项目存在征地拆迁、资金未落实问题。上述项目不同程度上存在征地拆迁未解决和用地指标未完善等问题。其中，阳西县城滨江路西段（宋康路-新325国道）市政道路及排水排污建设工程还有1户村民房屋和1间庙宇拆迁未完成，影响项目施工进度。阳西县体育路高压线落地及市政道路升级改造工程（一期）北边位置存在一垃圾回收站未征拆，涉及面积约600平方米，影响项目（一期）的施工作业。阳西县东湖森林公园二期新建及一期提升改造工程（一期）涉及征地面积7.01公顷（105.15亩），织篢镇政府正在开展征地工作，已完成科普乐园及湿地约8亩征地，其余部分正在全力推进中。二是部分项目存在建设资金紧张的。如阳西县体育路高压线落地及市政道路升级改造工程（一期）、阳西县城排水管网建设工程（第五期）、阳西县城排水管网建设工程（第六期）、阳西县城排水管网建设工程（第七期）等项目，目前正在积极对接县发改局和县财政局申请债券资金和上级资金。</w:t>
      </w:r>
    </w:p>
    <w:p w14:paraId="679A53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outlineLvl w:val="1"/>
        <w:rPr>
          <w:rFonts w:hint="eastAsia" w:ascii="仿宋_GB2312" w:hAnsi="仿宋_GB2312" w:eastAsia="仿宋_GB2312" w:cs="仿宋_GB2312"/>
        </w:rPr>
      </w:pPr>
      <w:r>
        <w:rPr>
          <w:rFonts w:hint="eastAsia" w:ascii="仿宋_GB2312" w:hAnsi="仿宋_GB2312" w:cs="仿宋_GB2312"/>
          <w:b/>
          <w:bCs/>
          <w:sz w:val="32"/>
          <w:szCs w:val="32"/>
          <w:lang w:val="en-US" w:eastAsia="zh-CN"/>
        </w:rPr>
        <w:t>（2）存在建筑垃圾处置难的问题。</w:t>
      </w:r>
      <w:r>
        <w:rPr>
          <w:rFonts w:hint="eastAsia" w:ascii="仿宋_GB2312" w:hAnsi="仿宋_GB2312" w:cs="仿宋_GB2312"/>
          <w:b w:val="0"/>
          <w:bCs w:val="0"/>
          <w:sz w:val="32"/>
          <w:szCs w:val="32"/>
          <w:lang w:val="en-US" w:eastAsia="zh-CN"/>
        </w:rPr>
        <w:t>县城还没有设置或建成建筑垃圾消纳场或综合利用处理场，造成建筑垃圾存在乱堆乱放、偷倒现象，影响县城区市容环境卫生</w:t>
      </w:r>
    </w:p>
    <w:p w14:paraId="1477D9CE">
      <w:pPr>
        <w:ind w:firstLine="520"/>
        <w:rPr>
          <w:rFonts w:ascii="仿宋_GB2312" w:hAnsi="仿宋_GB2312" w:cs="仿宋_GB2312"/>
          <w:bCs/>
          <w:color w:val="auto"/>
          <w:sz w:val="26"/>
          <w:szCs w:val="26"/>
        </w:rPr>
      </w:pPr>
      <w:r>
        <w:rPr>
          <w:rFonts w:hint="eastAsia"/>
          <w:b/>
          <w:color w:val="auto"/>
          <w:lang w:eastAsia="zh-CN"/>
        </w:rPr>
        <w:t>三、</w:t>
      </w:r>
      <w:r>
        <w:rPr>
          <w:rFonts w:hint="eastAsia"/>
          <w:b/>
          <w:color w:val="auto"/>
        </w:rPr>
        <w:t>部门整体支出情况。</w:t>
      </w:r>
    </w:p>
    <w:p w14:paraId="59AEF4B5">
      <w:pPr>
        <w:ind w:firstLine="520"/>
        <w:rPr>
          <w:rFonts w:hint="default" w:ascii="仿宋_GB2312" w:hAnsi="仿宋_GB2312" w:cs="仿宋_GB2312"/>
          <w:bCs/>
          <w:color w:val="auto"/>
          <w:szCs w:val="32"/>
          <w:lang w:val="en-US" w:eastAsia="zh-CN" w:bidi="ar"/>
        </w:rPr>
      </w:pPr>
      <w:r>
        <w:rPr>
          <w:rFonts w:hint="eastAsia" w:ascii="仿宋_GB2312" w:hAnsi="仿宋_GB2312" w:cs="仿宋_GB2312"/>
          <w:bCs/>
          <w:color w:val="auto"/>
          <w:szCs w:val="32"/>
          <w:lang w:val="en-US" w:eastAsia="zh-CN" w:bidi="ar"/>
        </w:rPr>
        <w:t>年初预算3546万元，调整后预算24731.88万元，上年结转51.75万元；本年实际支出19968.21万元，结转下年4815.42万元，支出完成率80.57%。另外，2024年度三公经费预算61.7万元，决算支出55.57万元，支出率90.06%，支出率低原因是我局严格执行中央八项规定精神，做到厉行节约。日常公用经费预算收入189.96万元，支出178.76万元，支出完成率94.1%，日常公用经费的支出是保证我局正常运转的各项必要支出，支出合法、依规，无存在无预算、超标准支出。</w:t>
      </w:r>
    </w:p>
    <w:p w14:paraId="24A3018F">
      <w:pPr>
        <w:ind w:firstLine="520"/>
        <w:rPr>
          <w:b/>
          <w:color w:val="auto"/>
        </w:rPr>
      </w:pPr>
      <w:r>
        <w:rPr>
          <w:rFonts w:hint="eastAsia"/>
          <w:b/>
          <w:color w:val="auto"/>
          <w:lang w:eastAsia="zh-CN"/>
        </w:rPr>
        <w:t>四、</w:t>
      </w:r>
      <w:r>
        <w:rPr>
          <w:rFonts w:hint="eastAsia"/>
          <w:b/>
          <w:color w:val="auto"/>
        </w:rPr>
        <w:t>部门整体支出绩效目标。</w:t>
      </w:r>
    </w:p>
    <w:p w14:paraId="05801DCC">
      <w:pPr>
        <w:spacing w:line="600" w:lineRule="exact"/>
        <w:ind w:firstLine="616" w:firstLineChars="200"/>
        <w:rPr>
          <w:rFonts w:hint="eastAsia" w:ascii="仿宋_GB2312" w:hAnsi="华文仿宋" w:cs="仿宋_GB2312"/>
          <w:color w:val="auto"/>
          <w:szCs w:val="32"/>
          <w:lang w:val="en-US" w:eastAsia="zh-CN"/>
        </w:rPr>
      </w:pPr>
      <w:r>
        <w:rPr>
          <w:rFonts w:hint="eastAsia" w:ascii="仿宋_GB2312" w:hAnsi="华文仿宋" w:cs="仿宋_GB2312"/>
          <w:color w:val="auto"/>
          <w:szCs w:val="32"/>
          <w:lang w:val="en-US" w:eastAsia="zh-CN"/>
        </w:rPr>
        <w:t>2024年度我局能按时按质完成县委县政府各项工作任务，在城市管理、城管执法、市容环境卫生、安全生产、民生项目及重大市政公共基础设施建设情况、我县开展“四城同创”等方面工作做得较好，深受县委县政府好评。 特别对项目建设方面，在时间紧、人员少、项目多、工程技术人才欠缺的情况下都能按时按质完成。</w:t>
      </w:r>
    </w:p>
    <w:p w14:paraId="3B99F9D8">
      <w:pPr>
        <w:spacing w:line="600" w:lineRule="exact"/>
        <w:ind w:firstLine="616" w:firstLineChars="200"/>
        <w:rPr>
          <w:rFonts w:hint="default" w:ascii="仿宋_GB2312" w:hAnsi="华文仿宋" w:cs="仿宋_GB2312"/>
          <w:color w:val="auto"/>
          <w:szCs w:val="32"/>
          <w:lang w:val="en-US" w:eastAsia="zh-CN"/>
        </w:rPr>
      </w:pPr>
      <w:r>
        <w:rPr>
          <w:rFonts w:hint="eastAsia" w:ascii="仿宋_GB2312" w:hAnsi="华文仿宋" w:cs="仿宋_GB2312"/>
          <w:color w:val="auto"/>
          <w:szCs w:val="32"/>
          <w:lang w:val="en-US" w:eastAsia="zh-CN"/>
        </w:rPr>
        <w:t>重点项目建设情况表：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4965"/>
        <w:gridCol w:w="1410"/>
      </w:tblGrid>
      <w:tr w14:paraId="5E27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14:paraId="7F437668">
            <w:pPr>
              <w:spacing w:line="600" w:lineRule="exact"/>
              <w:jc w:val="center"/>
              <w:rPr>
                <w:rFonts w:hint="default" w:ascii="仿宋_GB2312" w:hAnsi="华文仿宋" w:eastAsia="仿宋_GB2312" w:cs="仿宋_GB2312"/>
                <w:b/>
                <w:bCs/>
                <w:sz w:val="21"/>
                <w:szCs w:val="21"/>
                <w:vertAlign w:val="baseline"/>
                <w:lang w:val="en-US" w:eastAsia="zh-CN"/>
              </w:rPr>
            </w:pPr>
            <w:r>
              <w:rPr>
                <w:rFonts w:hint="eastAsia" w:ascii="仿宋_GB2312" w:hAnsi="华文仿宋" w:cs="仿宋_GB2312"/>
                <w:b/>
                <w:bCs/>
                <w:sz w:val="21"/>
                <w:szCs w:val="21"/>
                <w:vertAlign w:val="baseline"/>
                <w:lang w:val="en-US" w:eastAsia="zh-CN"/>
              </w:rPr>
              <w:t>项目名称</w:t>
            </w:r>
          </w:p>
        </w:tc>
        <w:tc>
          <w:tcPr>
            <w:tcW w:w="4965" w:type="dxa"/>
          </w:tcPr>
          <w:p w14:paraId="0A199222">
            <w:pPr>
              <w:spacing w:line="600" w:lineRule="exact"/>
              <w:jc w:val="center"/>
              <w:rPr>
                <w:rFonts w:hint="default" w:ascii="仿宋_GB2312" w:hAnsi="华文仿宋" w:eastAsia="仿宋_GB2312" w:cs="仿宋_GB2312"/>
                <w:b/>
                <w:bCs/>
                <w:sz w:val="21"/>
                <w:szCs w:val="21"/>
                <w:vertAlign w:val="baseline"/>
                <w:lang w:val="en-US" w:eastAsia="zh-CN"/>
              </w:rPr>
            </w:pPr>
            <w:r>
              <w:rPr>
                <w:rFonts w:hint="eastAsia" w:ascii="仿宋_GB2312" w:hAnsi="华文仿宋" w:cs="仿宋_GB2312"/>
                <w:b/>
                <w:bCs/>
                <w:sz w:val="21"/>
                <w:szCs w:val="21"/>
                <w:vertAlign w:val="baseline"/>
                <w:lang w:val="en-US" w:eastAsia="zh-CN"/>
              </w:rPr>
              <w:t>绩效目标</w:t>
            </w:r>
          </w:p>
        </w:tc>
        <w:tc>
          <w:tcPr>
            <w:tcW w:w="1410" w:type="dxa"/>
          </w:tcPr>
          <w:p w14:paraId="049CE31B">
            <w:pPr>
              <w:spacing w:line="600" w:lineRule="exact"/>
              <w:jc w:val="center"/>
              <w:rPr>
                <w:rFonts w:hint="default" w:ascii="仿宋_GB2312" w:hAnsi="华文仿宋" w:eastAsia="仿宋_GB2312" w:cs="仿宋_GB2312"/>
                <w:b/>
                <w:bCs/>
                <w:sz w:val="21"/>
                <w:szCs w:val="21"/>
                <w:vertAlign w:val="baseline"/>
                <w:lang w:val="en-US" w:eastAsia="zh-CN"/>
              </w:rPr>
            </w:pPr>
            <w:r>
              <w:rPr>
                <w:rFonts w:hint="eastAsia" w:ascii="仿宋_GB2312" w:hAnsi="华文仿宋" w:cs="仿宋_GB2312"/>
                <w:b/>
                <w:bCs/>
                <w:sz w:val="21"/>
                <w:szCs w:val="21"/>
                <w:vertAlign w:val="baseline"/>
                <w:lang w:val="en-US" w:eastAsia="zh-CN"/>
              </w:rPr>
              <w:t>目标完成情况</w:t>
            </w:r>
          </w:p>
        </w:tc>
      </w:tr>
      <w:tr w14:paraId="75C4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298" w:type="dxa"/>
            <w:vAlign w:val="top"/>
          </w:tcPr>
          <w:p w14:paraId="50297F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华文仿宋" w:eastAsia="仿宋_GB2312" w:cs="仿宋_GB2312"/>
                <w:kern w:val="2"/>
                <w:sz w:val="21"/>
                <w:szCs w:val="21"/>
                <w:vertAlign w:val="baseline"/>
                <w:lang w:val="en-US" w:eastAsia="zh-CN" w:bidi="ar-SA"/>
              </w:rPr>
            </w:pPr>
            <w:r>
              <w:rPr>
                <w:rFonts w:hint="eastAsia"/>
                <w:sz w:val="21"/>
                <w:szCs w:val="21"/>
              </w:rPr>
              <w:t>阳西县城排水管网建设工程（第一期）</w:t>
            </w:r>
          </w:p>
        </w:tc>
        <w:tc>
          <w:tcPr>
            <w:tcW w:w="4965" w:type="dxa"/>
            <w:vAlign w:val="top"/>
          </w:tcPr>
          <w:p w14:paraId="319E05F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default"/>
                <w:sz w:val="21"/>
                <w:szCs w:val="21"/>
                <w:lang w:val="en-US" w:eastAsia="zh-CN"/>
              </w:rPr>
              <w:t>改善县城市政配套设施，进一步完善县城排水管网的建设和改造，提升县城区排水排污能力。</w:t>
            </w:r>
          </w:p>
        </w:tc>
        <w:tc>
          <w:tcPr>
            <w:tcW w:w="1410" w:type="dxa"/>
            <w:vAlign w:val="top"/>
          </w:tcPr>
          <w:p w14:paraId="5F551C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14:paraId="75A9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98" w:type="dxa"/>
          </w:tcPr>
          <w:p w14:paraId="0A82F0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阳西县城2023年春节设置灯饰和悬挂灯笼项目</w:t>
            </w:r>
          </w:p>
        </w:tc>
        <w:tc>
          <w:tcPr>
            <w:tcW w:w="4965" w:type="dxa"/>
          </w:tcPr>
          <w:p w14:paraId="7F6F382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default"/>
                <w:sz w:val="21"/>
                <w:szCs w:val="21"/>
                <w:lang w:val="en-US" w:eastAsia="zh-CN"/>
              </w:rPr>
              <w:t>安装灯会灯组，挂设灯笼及彩灯饰，增添县城春节气氛，营造喜庆、祥和的节日氛围。</w:t>
            </w:r>
          </w:p>
        </w:tc>
        <w:tc>
          <w:tcPr>
            <w:tcW w:w="1410" w:type="dxa"/>
          </w:tcPr>
          <w:p w14:paraId="5BD3FBF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14:paraId="02C3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14:paraId="5FEA30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阳西县城安和路升级改造工程</w:t>
            </w:r>
          </w:p>
        </w:tc>
        <w:tc>
          <w:tcPr>
            <w:tcW w:w="4965" w:type="dxa"/>
          </w:tcPr>
          <w:p w14:paraId="1331E11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eastAsia"/>
                <w:sz w:val="21"/>
                <w:szCs w:val="21"/>
                <w:lang w:val="en-US" w:eastAsia="zh-CN"/>
              </w:rPr>
              <w:t>实施县城安和路道路、排水雨污分流、路灯、绿化等改造，消除道路安全隐患，改善交通出行条件，优化美化亮化县城环境，提升县城的品位与档次。</w:t>
            </w:r>
          </w:p>
        </w:tc>
        <w:tc>
          <w:tcPr>
            <w:tcW w:w="1410" w:type="dxa"/>
          </w:tcPr>
          <w:p w14:paraId="592739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14:paraId="6A88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14:paraId="761B21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阳西县城滨江路西段(宋康路-新325国道)市政道路及排水排污建设工程</w:t>
            </w:r>
          </w:p>
        </w:tc>
        <w:tc>
          <w:tcPr>
            <w:tcW w:w="4965" w:type="dxa"/>
          </w:tcPr>
          <w:p w14:paraId="7E8CDC0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sz w:val="21"/>
                <w:szCs w:val="21"/>
                <w:lang w:val="en-US" w:eastAsia="zh-CN"/>
              </w:rPr>
            </w:pPr>
            <w:r>
              <w:rPr>
                <w:rFonts w:hint="eastAsia"/>
                <w:sz w:val="21"/>
                <w:szCs w:val="21"/>
                <w:lang w:val="en-US" w:eastAsia="zh-CN"/>
              </w:rPr>
              <w:t>完善县城西片区区周边路网结构的需要，改善拥堵交通状况，减低县城路网的交通压力，保障广大群众的出行安全。</w:t>
            </w:r>
          </w:p>
        </w:tc>
        <w:tc>
          <w:tcPr>
            <w:tcW w:w="1410" w:type="dxa"/>
            <w:vAlign w:val="top"/>
          </w:tcPr>
          <w:p w14:paraId="37FB9C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21"/>
                <w:szCs w:val="21"/>
                <w:lang w:val="en-US" w:eastAsia="zh-CN"/>
              </w:rPr>
            </w:pPr>
            <w:r>
              <w:rPr>
                <w:rFonts w:hint="eastAsia"/>
                <w:sz w:val="21"/>
                <w:szCs w:val="21"/>
                <w:lang w:val="en-US" w:eastAsia="zh-CN"/>
              </w:rPr>
              <w:t>100%。</w:t>
            </w:r>
          </w:p>
        </w:tc>
      </w:tr>
      <w:tr w14:paraId="5FDC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71E20E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bookmarkStart w:id="7" w:name="_Toc4514_WPSOffice_Level1"/>
            <w:bookmarkStart w:id="8" w:name="_Toc22180"/>
            <w:r>
              <w:rPr>
                <w:rFonts w:hint="eastAsia"/>
                <w:sz w:val="21"/>
                <w:szCs w:val="21"/>
                <w:lang w:val="en-US" w:eastAsia="zh-CN"/>
              </w:rPr>
              <w:t>阳西县情侣路改造工程</w:t>
            </w:r>
          </w:p>
        </w:tc>
        <w:tc>
          <w:tcPr>
            <w:tcW w:w="4965" w:type="dxa"/>
            <w:vAlign w:val="top"/>
          </w:tcPr>
          <w:p w14:paraId="2E0AA4D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为扩容提质县城基础设施，优化美化县城环境，提升县城的品位与档次，创建省级园林、卫生、文明城市，促进经济发展。</w:t>
            </w:r>
          </w:p>
        </w:tc>
        <w:tc>
          <w:tcPr>
            <w:tcW w:w="1410" w:type="dxa"/>
            <w:vAlign w:val="top"/>
          </w:tcPr>
          <w:p w14:paraId="6868E7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华文仿宋" w:cs="仿宋_GB2312"/>
                <w:sz w:val="21"/>
                <w:szCs w:val="21"/>
                <w:vertAlign w:val="baseline"/>
                <w:lang w:val="en-US" w:eastAsia="zh-CN"/>
              </w:rPr>
            </w:pPr>
            <w:r>
              <w:rPr>
                <w:rFonts w:hint="eastAsia"/>
                <w:sz w:val="21"/>
                <w:szCs w:val="21"/>
                <w:lang w:val="en-US" w:eastAsia="zh-CN"/>
              </w:rPr>
              <w:t>100%。</w:t>
            </w:r>
          </w:p>
        </w:tc>
      </w:tr>
      <w:tr w14:paraId="4AEF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2690B6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阳西县生活垃圾卫生填埋场市场化运营项目</w:t>
            </w:r>
          </w:p>
        </w:tc>
        <w:tc>
          <w:tcPr>
            <w:tcW w:w="4965" w:type="dxa"/>
            <w:vAlign w:val="top"/>
          </w:tcPr>
          <w:p w14:paraId="7F1CCA0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1、垃圾填埋处理按照无害化卫生填埋作业标准进行卫生填埋； 2、渗滤液处理对渗滤液进行初级处理和深度处理，出水必须达到《生活垃圾填埋场污染控制标准》(GB16889-2008)规定的水污染物排放质量浓度限值。</w:t>
            </w:r>
          </w:p>
        </w:tc>
        <w:tc>
          <w:tcPr>
            <w:tcW w:w="1410" w:type="dxa"/>
            <w:vAlign w:val="top"/>
          </w:tcPr>
          <w:p w14:paraId="3E6100E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华文仿宋" w:eastAsia="仿宋_GB2312" w:cs="仿宋_GB2312"/>
                <w:kern w:val="2"/>
                <w:sz w:val="21"/>
                <w:szCs w:val="21"/>
                <w:vertAlign w:val="baseline"/>
                <w:lang w:val="en-US" w:eastAsia="zh-CN" w:bidi="ar-SA"/>
              </w:rPr>
            </w:pPr>
            <w:r>
              <w:rPr>
                <w:rFonts w:hint="eastAsia"/>
                <w:sz w:val="21"/>
                <w:szCs w:val="21"/>
                <w:lang w:val="en-US" w:eastAsia="zh-CN"/>
              </w:rPr>
              <w:t>100%。</w:t>
            </w:r>
          </w:p>
        </w:tc>
      </w:tr>
      <w:tr w14:paraId="5E0E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29F7FB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阳西县城二十五区道路（8-14米）建设工程</w:t>
            </w:r>
          </w:p>
        </w:tc>
        <w:tc>
          <w:tcPr>
            <w:tcW w:w="4965" w:type="dxa"/>
            <w:vAlign w:val="top"/>
          </w:tcPr>
          <w:p w14:paraId="759DB75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实施县城二十五区道路硬底化及建设地下排水系统，完善县城市政基础配套设施，方便群众出行，促进经济发展。</w:t>
            </w:r>
          </w:p>
        </w:tc>
        <w:tc>
          <w:tcPr>
            <w:tcW w:w="1410" w:type="dxa"/>
            <w:vAlign w:val="top"/>
          </w:tcPr>
          <w:p w14:paraId="6D3A8E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sz w:val="21"/>
                <w:szCs w:val="21"/>
                <w:vertAlign w:val="baseline"/>
                <w:lang w:val="en-US" w:eastAsia="zh-CN"/>
              </w:rPr>
            </w:pPr>
            <w:r>
              <w:rPr>
                <w:rFonts w:hint="eastAsia"/>
                <w:sz w:val="21"/>
                <w:szCs w:val="21"/>
                <w:lang w:val="en-US" w:eastAsia="zh-CN"/>
              </w:rPr>
              <w:t>100%。</w:t>
            </w:r>
          </w:p>
        </w:tc>
      </w:tr>
      <w:tr w14:paraId="2B7E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1EEA29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阳西县第一中学新校区交通与停车场建设工程</w:t>
            </w:r>
          </w:p>
        </w:tc>
        <w:tc>
          <w:tcPr>
            <w:tcW w:w="4965" w:type="dxa"/>
            <w:vAlign w:val="top"/>
          </w:tcPr>
          <w:p w14:paraId="68D0DF1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优化阳西县第一中学新校区周边交通和完善校区配套设施，解决县第一中学新校区师生出行和接送车辆停放的问题，优化学校周边交通，完善校区配套设施。</w:t>
            </w:r>
          </w:p>
        </w:tc>
        <w:tc>
          <w:tcPr>
            <w:tcW w:w="1410" w:type="dxa"/>
            <w:vAlign w:val="top"/>
          </w:tcPr>
          <w:p w14:paraId="1544A8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14:paraId="3D34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2B458F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阳西县生活垃圾填埋场三期建设工程</w:t>
            </w:r>
          </w:p>
        </w:tc>
        <w:tc>
          <w:tcPr>
            <w:tcW w:w="4965" w:type="dxa"/>
            <w:vAlign w:val="top"/>
          </w:tcPr>
          <w:p w14:paraId="7849DC8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在现有基础上对垃圾填埋场库区进行扩容，解决我县生活垃圾卫生填埋场库容处理年限将满的问题，提高生活垃圾填埋场的处理能力。</w:t>
            </w:r>
          </w:p>
        </w:tc>
        <w:tc>
          <w:tcPr>
            <w:tcW w:w="1410" w:type="dxa"/>
            <w:vAlign w:val="top"/>
          </w:tcPr>
          <w:p w14:paraId="0F5D38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14:paraId="56AE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2298" w:type="dxa"/>
            <w:vAlign w:val="top"/>
          </w:tcPr>
          <w:p w14:paraId="63FF02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阳西县城滨江北路（福达名苑至岑村水闸口段）污水管道改造工程</w:t>
            </w:r>
          </w:p>
        </w:tc>
        <w:tc>
          <w:tcPr>
            <w:tcW w:w="4965" w:type="dxa"/>
            <w:vAlign w:val="top"/>
          </w:tcPr>
          <w:p w14:paraId="5AD3F4F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完成滨江北路（福达名苑至岑村水闸口段）污水管道改造，解决该路段污水管道排量不足问题，提升生活污水收集率，改善环境质量。</w:t>
            </w:r>
          </w:p>
        </w:tc>
        <w:tc>
          <w:tcPr>
            <w:tcW w:w="1410" w:type="dxa"/>
            <w:vAlign w:val="top"/>
          </w:tcPr>
          <w:p w14:paraId="3A53FC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14:paraId="47A1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118FEA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阳西县城小区雨污水管网改造工程</w:t>
            </w:r>
          </w:p>
        </w:tc>
        <w:tc>
          <w:tcPr>
            <w:tcW w:w="4965" w:type="dxa"/>
            <w:vAlign w:val="top"/>
          </w:tcPr>
          <w:p w14:paraId="04962EA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推进县城小区雨污水管网改造，完善县城排水排污系统，提升城镇污水收集处理效能和城市生活污水收集率。</w:t>
            </w:r>
          </w:p>
        </w:tc>
        <w:tc>
          <w:tcPr>
            <w:tcW w:w="1410" w:type="dxa"/>
            <w:vAlign w:val="top"/>
          </w:tcPr>
          <w:p w14:paraId="3F84AB9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r w14:paraId="3A63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6E0FEA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1"/>
                <w:szCs w:val="21"/>
                <w:lang w:val="en-US" w:eastAsia="zh-CN"/>
              </w:rPr>
            </w:pPr>
            <w:r>
              <w:rPr>
                <w:rFonts w:hint="eastAsia"/>
                <w:sz w:val="21"/>
                <w:szCs w:val="21"/>
                <w:lang w:val="en-US" w:eastAsia="zh-CN"/>
              </w:rPr>
              <w:t>阳西县第一中学新校区南面市政道路及配套设施建设工程</w:t>
            </w:r>
          </w:p>
        </w:tc>
        <w:tc>
          <w:tcPr>
            <w:tcW w:w="4965" w:type="dxa"/>
            <w:vAlign w:val="top"/>
          </w:tcPr>
          <w:p w14:paraId="02A07F3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1"/>
                <w:szCs w:val="21"/>
                <w:lang w:val="en-US" w:eastAsia="zh-CN"/>
              </w:rPr>
            </w:pPr>
            <w:r>
              <w:rPr>
                <w:rFonts w:hint="eastAsia"/>
                <w:sz w:val="21"/>
                <w:szCs w:val="21"/>
                <w:lang w:val="en-US" w:eastAsia="zh-CN"/>
              </w:rPr>
              <w:t>完善县一中新校区周边路网结构的需要，改善拥堵交通状况，减低县城路网的交通压力，保障广大师生和居民的出行安全。</w:t>
            </w:r>
          </w:p>
        </w:tc>
        <w:tc>
          <w:tcPr>
            <w:tcW w:w="1410" w:type="dxa"/>
            <w:vAlign w:val="top"/>
          </w:tcPr>
          <w:p w14:paraId="6FA3D0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华文仿宋" w:cs="仿宋_GB2312"/>
                <w:kern w:val="2"/>
                <w:sz w:val="21"/>
                <w:szCs w:val="21"/>
                <w:vertAlign w:val="baseline"/>
                <w:lang w:val="en-US" w:eastAsia="zh-CN" w:bidi="ar-SA"/>
              </w:rPr>
            </w:pPr>
            <w:r>
              <w:rPr>
                <w:rFonts w:hint="eastAsia"/>
                <w:sz w:val="21"/>
                <w:szCs w:val="21"/>
                <w:lang w:val="en-US" w:eastAsia="zh-CN"/>
              </w:rPr>
              <w:t>100%。</w:t>
            </w:r>
          </w:p>
        </w:tc>
      </w:tr>
    </w:tbl>
    <w:p w14:paraId="36BB596D">
      <w:pPr>
        <w:ind w:firstLine="616" w:firstLineChars="200"/>
        <w:rPr>
          <w:rFonts w:ascii="方正小标宋简体" w:eastAsia="方正小标宋简体"/>
        </w:rPr>
      </w:pPr>
      <w:r>
        <w:rPr>
          <w:rFonts w:hint="eastAsia" w:ascii="方正小标宋简体" w:eastAsia="方正小标宋简体"/>
          <w:lang w:eastAsia="zh-CN"/>
        </w:rPr>
        <w:t>五、</w:t>
      </w:r>
      <w:r>
        <w:rPr>
          <w:rFonts w:hint="eastAsia" w:ascii="方正小标宋简体" w:eastAsia="方正小标宋简体"/>
        </w:rPr>
        <w:t>绩效自评结论</w:t>
      </w:r>
      <w:bookmarkEnd w:id="7"/>
      <w:bookmarkEnd w:id="8"/>
    </w:p>
    <w:p w14:paraId="577C252C">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（一）预算编制情况，指标总分20分，自评得分20分，其中：</w:t>
      </w:r>
    </w:p>
    <w:p w14:paraId="71F4D1CF">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仿宋_GB2312" w:cs="仿宋_GB2312"/>
          <w:sz w:val="32"/>
          <w:szCs w:val="32"/>
          <w:lang w:val="en-US" w:eastAsia="zh-CN"/>
        </w:rPr>
        <w:t>1、预算编制，</w:t>
      </w:r>
      <w:r>
        <w:rPr>
          <w:rFonts w:hint="eastAsia" w:ascii="仿宋_GB2312" w:hAnsi="华文仿宋" w:cs="仿宋_GB2312"/>
          <w:szCs w:val="32"/>
          <w:lang w:val="en-US" w:eastAsia="zh-CN"/>
        </w:rPr>
        <w:t>指标总分8分，自评得分8分，其中：</w:t>
      </w:r>
    </w:p>
    <w:p w14:paraId="0A5A15B3">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（1）预算编制合理，指标总分4分，自评得分4分。本部门能根据部门职责及县委县政府方针政策和工作实际，做到轻重缓急分配资金。</w:t>
      </w:r>
    </w:p>
    <w:p w14:paraId="4C6C8FD5">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（2）预算编制规范，指标总分4分，自评得分4分。本部门预算编制符合规范性要求，内容规范、完整、细致。</w:t>
      </w:r>
    </w:p>
    <w:p w14:paraId="1F0C94F7">
      <w:pPr>
        <w:snapToGrid w:val="0"/>
        <w:spacing w:line="360" w:lineRule="auto"/>
        <w:ind w:left="616" w:leftChars="200" w:firstLine="0" w:firstLineChars="0"/>
        <w:rPr>
          <w:rFonts w:hint="eastAsia" w:ascii="仿宋_GB2312" w:hAnsi="华文仿宋" w:cs="仿宋_GB2312"/>
          <w:szCs w:val="32"/>
          <w:lang w:val="en-US" w:eastAsia="zh-CN"/>
        </w:rPr>
      </w:pPr>
      <w:r>
        <w:rPr>
          <w:rFonts w:hint="eastAsia" w:ascii="仿宋_GB2312" w:hAnsi="华文仿宋" w:cs="仿宋_GB2312"/>
          <w:szCs w:val="32"/>
          <w:lang w:val="en-US" w:eastAsia="zh-CN"/>
        </w:rPr>
        <w:t>2、目标设置情况，指标总分12分，自评得分12分，其中：</w:t>
      </w:r>
    </w:p>
    <w:p w14:paraId="04E90B54">
      <w:pPr>
        <w:snapToGrid w:val="0"/>
        <w:spacing w:line="360" w:lineRule="auto"/>
        <w:ind w:left="616" w:leftChars="200" w:firstLine="0" w:firstLineChars="0"/>
        <w:rPr>
          <w:rFonts w:hint="eastAsia" w:ascii="仿宋_GB2312" w:hAnsi="华文仿宋" w:cs="仿宋_GB2312"/>
          <w:szCs w:val="32"/>
          <w:lang w:val="en-US" w:eastAsia="zh-CN"/>
        </w:rPr>
      </w:pPr>
    </w:p>
    <w:p w14:paraId="45100775">
      <w:pPr>
        <w:numPr>
          <w:ilvl w:val="0"/>
          <w:numId w:val="1"/>
        </w:numPr>
        <w:snapToGrid w:val="0"/>
        <w:spacing w:line="360" w:lineRule="auto"/>
        <w:ind w:left="616" w:leftChars="20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绩效目标合理性，指标总分6分，自评得分6分。根</w:t>
      </w:r>
    </w:p>
    <w:p w14:paraId="6632E583">
      <w:pPr>
        <w:bidi w:val="0"/>
        <w:rPr>
          <w:rFonts w:hint="eastAsia"/>
          <w:lang w:val="en-US" w:eastAsia="zh-CN"/>
        </w:rPr>
      </w:pPr>
      <w:r>
        <w:rPr>
          <w:rFonts w:hint="eastAsia" w:ascii="仿宋_GB2312" w:hAnsi="仿宋_GB2312" w:eastAsia="仿宋_GB2312" w:cs="仿宋_GB2312"/>
          <w:szCs w:val="32"/>
          <w:lang w:val="en-US" w:eastAsia="zh-CN"/>
        </w:rPr>
        <w:t>据部门职责和年度重点工作任务，设置绩效目标与部门履职及年度工</w:t>
      </w:r>
      <w:r>
        <w:rPr>
          <w:rFonts w:hint="eastAsia"/>
          <w:lang w:val="en-US" w:eastAsia="zh-CN"/>
        </w:rPr>
        <w:t>作任务相符。</w:t>
      </w:r>
    </w:p>
    <w:p w14:paraId="2C838946">
      <w:pPr>
        <w:bidi w:val="0"/>
        <w:rPr>
          <w:rFonts w:hint="eastAsia"/>
          <w:lang w:val="en-US" w:eastAsia="zh-CN"/>
        </w:rPr>
      </w:pPr>
      <w:r>
        <w:rPr>
          <w:rFonts w:hint="eastAsia"/>
          <w:lang w:val="en-US" w:eastAsia="zh-CN"/>
        </w:rPr>
        <w:t xml:space="preserve">    （2）绩效目标完整性，指标总分2分，自评得分2分。部门整体绩效目标及项目绩效目标覆盖广，内容完整、准确。</w:t>
      </w:r>
    </w:p>
    <w:p w14:paraId="134558F2">
      <w:pPr>
        <w:bidi w:val="0"/>
        <w:rPr>
          <w:rFonts w:hint="eastAsia"/>
          <w:lang w:val="en-US" w:eastAsia="zh-CN"/>
        </w:rPr>
      </w:pPr>
      <w:r>
        <w:rPr>
          <w:rFonts w:hint="eastAsia"/>
          <w:lang w:val="en-US" w:eastAsia="zh-CN"/>
        </w:rPr>
        <w:t>预算目标设置合理、完整、明确。</w:t>
      </w:r>
    </w:p>
    <w:p w14:paraId="7B946ED7">
      <w:pPr>
        <w:bidi w:val="0"/>
        <w:rPr>
          <w:rFonts w:hint="eastAsia"/>
          <w:lang w:val="en-US" w:eastAsia="zh-CN"/>
        </w:rPr>
      </w:pPr>
      <w:r>
        <w:rPr>
          <w:rFonts w:hint="eastAsia"/>
          <w:lang w:val="en-US" w:eastAsia="zh-CN"/>
        </w:rPr>
        <w:t xml:space="preserve">    （3）绩效目标明确性，指标总分6分，自评得分6分。部门整体绩效目标所设定的绩效指标及项目绩效目标可清晰、细化、可量化地反映和考核部门整体绩效目标的明细化情况。</w:t>
      </w:r>
    </w:p>
    <w:p w14:paraId="78C5F7DC">
      <w:pPr>
        <w:snapToGrid w:val="0"/>
        <w:spacing w:line="360" w:lineRule="auto"/>
        <w:ind w:left="616" w:leftChars="200" w:firstLine="0" w:firstLineChars="0"/>
        <w:rPr>
          <w:rFonts w:hint="eastAsia" w:ascii="仿宋_GB2312" w:hAnsi="华文仿宋" w:cs="仿宋_GB2312"/>
          <w:szCs w:val="32"/>
          <w:lang w:val="en-US" w:eastAsia="zh-CN"/>
        </w:rPr>
      </w:pPr>
      <w:r>
        <w:rPr>
          <w:rFonts w:hint="eastAsia" w:ascii="仿宋_GB2312" w:hAnsi="华文仿宋" w:cs="仿宋_GB2312"/>
          <w:szCs w:val="32"/>
          <w:lang w:val="en-US" w:eastAsia="zh-CN"/>
        </w:rPr>
        <w:t>（二）预算执行情况，指标总分40分，自评得分39分，其</w:t>
      </w:r>
    </w:p>
    <w:p w14:paraId="39E60FA6">
      <w:pPr>
        <w:snapToGrid w:val="0"/>
        <w:spacing w:line="360" w:lineRule="auto"/>
        <w:rPr>
          <w:rFonts w:hint="eastAsia" w:ascii="仿宋_GB2312" w:hAnsi="华文仿宋" w:cs="仿宋_GB2312"/>
          <w:szCs w:val="32"/>
          <w:lang w:val="en-US" w:eastAsia="zh-CN"/>
        </w:rPr>
      </w:pPr>
      <w:r>
        <w:rPr>
          <w:rFonts w:hint="eastAsia" w:ascii="仿宋_GB2312" w:hAnsi="华文仿宋" w:cs="仿宋_GB2312"/>
          <w:szCs w:val="32"/>
          <w:lang w:val="en-US" w:eastAsia="zh-CN"/>
        </w:rPr>
        <w:t>中：</w:t>
      </w:r>
    </w:p>
    <w:p w14:paraId="75FE2078">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1、制度管理，指标总分5分，自评得分5分。本部门管理制度健全，涉及收入、支出、车辆运行、接待、项目管理、差旅、会议、培训、考勤、食堂、资产、政府采购等都制订有内控管理制度，并按制度规定执行。</w:t>
      </w:r>
    </w:p>
    <w:p w14:paraId="3892CB4E">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2、资金管理，指标总分20分，自评得分19分，其中：</w:t>
      </w:r>
    </w:p>
    <w:p w14:paraId="51832A14">
      <w:pPr>
        <w:snapToGrid w:val="0"/>
        <w:spacing w:line="360" w:lineRule="auto"/>
        <w:ind w:firstLine="616" w:firstLineChars="200"/>
        <w:rPr>
          <w:rFonts w:hint="eastAsia"/>
          <w:lang w:val="en-US" w:eastAsia="zh-CN"/>
        </w:rPr>
      </w:pPr>
      <w:r>
        <w:rPr>
          <w:rFonts w:hint="eastAsia" w:ascii="仿宋_GB2312" w:hAnsi="华文仿宋" w:cs="仿宋_GB2312"/>
          <w:szCs w:val="32"/>
          <w:lang w:val="en-US" w:eastAsia="zh-CN"/>
        </w:rPr>
        <w:t>（1）资金下达合规性，指标总分2分，自评得分2分。一般性转移支付和专项转移支付能按规定及时批复预算给下属单位。</w:t>
      </w:r>
    </w:p>
    <w:p w14:paraId="169DD409">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（2）部门预算资金支出完成率，指标总分5分，自评得分4分。预算支出率较高，达80.57%。因此，自扣1分。</w:t>
      </w:r>
    </w:p>
    <w:p w14:paraId="66F04A85">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（3）结转结余率，指标总分2分，自评得分2分。本部门没有存在结余资金，且结转资金较少，占总收入的0.3%。</w:t>
      </w:r>
    </w:p>
    <w:p w14:paraId="6610DC72">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（4）政府采购执行情况，指标总分4分，自评得分4分。本部门对该政府采购项目都按政府采购程序进行政府采购，政府采购执行率100%。</w:t>
      </w:r>
    </w:p>
    <w:p w14:paraId="4F6437EE">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（5）财务合规性，指标总分4分，自评得分4分。财政支出合规，手续齐全、内容真实、完整，无存在截留、挤占、挪用资金情况发生。</w:t>
      </w:r>
    </w:p>
    <w:p w14:paraId="15D8E93D">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（6）预决算信息公开性，指标总分3分，自评得分3分。预决算公开规范、及时，无存在整改情况。</w:t>
      </w:r>
    </w:p>
    <w:p w14:paraId="6880F2EA">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3、项目管理。指标总分8分，自评得分8分，其中：</w:t>
      </w:r>
    </w:p>
    <w:p w14:paraId="4A0AA216">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（1）项目实施程序，指标总分5分，自评得分5分。本部门年所有项目都能严格按照《项目管理制度》进行管理。</w:t>
      </w:r>
    </w:p>
    <w:p w14:paraId="7B3EF8CB">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（2）项目监督，指标总分3分，自评得分3分。本部门所有项目支出都建立有效运行的长效监督机制。</w:t>
      </w:r>
    </w:p>
    <w:p w14:paraId="0E6F5298">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4、资产管理，指标总分7分，自评得分7分，其中：</w:t>
      </w:r>
    </w:p>
    <w:p w14:paraId="04F49E11">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（1）资产管理合规性，指标总分5分，自评得分5分，资产配置基本合理、保管完整、使用合规、资产处置规范，做到账账相符、账实相符、账表相符。</w:t>
      </w:r>
    </w:p>
    <w:p w14:paraId="08441221">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（2）固定资产利用率，指标总分2分，自评得分2分，固定资产利用率较好、每样资产都能用到实处，发挥应有作用。</w:t>
      </w:r>
    </w:p>
    <w:p w14:paraId="1E57B00D">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（三）资金使用效益，指标总分40分，自评得分40分，其中：</w:t>
      </w:r>
    </w:p>
    <w:p w14:paraId="77A8F708">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1、经济性，指标总分5分，自评得分5分。三公经费年初预算数61.7万元，实际支出执行数55.57万元，支出数小于年初预算安排数；日常公用经费支出数小于预算安排安数。</w:t>
      </w:r>
    </w:p>
    <w:p w14:paraId="73D5EEFB">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2、效率性，指标总分10分，自评得分10分，其中：</w:t>
      </w:r>
    </w:p>
    <w:p w14:paraId="78DD1301">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（1）项目完成及时性，指标总分3分，自评得分3分。项目建设按时按质完成，能如期实现绩效目标。</w:t>
      </w:r>
    </w:p>
    <w:p w14:paraId="7BC8D8E2">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（2）绩效目标完成率，指标总分3分，自评得分3分。项目的建设完成，能如期实现绩效目标。</w:t>
      </w:r>
    </w:p>
    <w:p w14:paraId="21540EA5">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（3）重点项目完成情况，指标总分4分，自评得分4分。民生项目、重点项目建设完成，改善我县投资环境，提升县城品质，方便群众安全出行。</w:t>
      </w:r>
    </w:p>
    <w:p w14:paraId="0DCDEC83">
      <w:pPr>
        <w:numPr>
          <w:ilvl w:val="0"/>
          <w:numId w:val="0"/>
        </w:numPr>
        <w:ind w:firstLine="616" w:firstLineChars="200"/>
        <w:rPr>
          <w:rFonts w:hint="eastAsia" w:ascii="仿宋_GB2312" w:hAnsi="仿宋_GB2312" w:cs="仿宋_GB2312"/>
          <w:szCs w:val="32"/>
          <w:lang w:val="en-US" w:eastAsia="zh-CN" w:bidi="ar"/>
        </w:rPr>
      </w:pPr>
      <w:r>
        <w:rPr>
          <w:rFonts w:hint="eastAsia" w:ascii="仿宋_GB2312" w:hAnsi="华文仿宋" w:cs="仿宋_GB2312"/>
          <w:szCs w:val="32"/>
          <w:lang w:val="en-US" w:eastAsia="zh-CN"/>
        </w:rPr>
        <w:t>3、效果性，指标总分20分，自评得分20分。</w:t>
      </w:r>
      <w:r>
        <w:rPr>
          <w:rFonts w:hint="eastAsia" w:ascii="仿宋_GB2312" w:hAnsi="仿宋_GB2312" w:cs="仿宋_GB2312"/>
          <w:szCs w:val="32"/>
          <w:lang w:val="en-US" w:eastAsia="zh-CN" w:bidi="ar"/>
        </w:rPr>
        <w:t>部门履职情况是根据县委县政府工作布置和我局职责安排，2024年度我局在以下几方面工作较为突出，其中：</w:t>
      </w:r>
    </w:p>
    <w:p w14:paraId="05697250">
      <w:pPr>
        <w:numPr>
          <w:ilvl w:val="0"/>
          <w:numId w:val="2"/>
        </w:numPr>
        <w:ind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加强队伍建设（理论建设、组织建设、党建活动、责任担当）。</w:t>
      </w:r>
    </w:p>
    <w:p w14:paraId="451780AF">
      <w:pPr>
        <w:numPr>
          <w:ilvl w:val="0"/>
          <w:numId w:val="2"/>
        </w:numPr>
        <w:ind w:left="0" w:leftChars="0"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 xml:space="preserve">改善县城人居环境（开展“六乱”整治，净化环境）。 </w:t>
      </w:r>
    </w:p>
    <w:p w14:paraId="2F565038">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（3）不断完善市政设施，提升公共服务水平。</w:t>
      </w:r>
    </w:p>
    <w:p w14:paraId="523DFAD6">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（4）深化为民办实事，解决群众实际问题。</w:t>
      </w:r>
    </w:p>
    <w:p w14:paraId="32F20CA2">
      <w:pPr>
        <w:bidi w:val="0"/>
        <w:ind w:firstLine="616" w:firstLineChars="200"/>
        <w:rPr>
          <w:rFonts w:hint="default"/>
          <w:lang w:val="en-US" w:eastAsia="zh-CN"/>
        </w:rPr>
      </w:pPr>
      <w:r>
        <w:rPr>
          <w:rFonts w:hint="eastAsia"/>
          <w:lang w:val="en-US" w:eastAsia="zh-CN"/>
        </w:rPr>
        <w:t>（5）全力抓好安全生产，严防安全事故发生。</w:t>
      </w:r>
    </w:p>
    <w:p w14:paraId="02295003">
      <w:pPr>
        <w:bidi w:val="0"/>
        <w:ind w:firstLine="616" w:firstLineChars="200"/>
        <w:rPr>
          <w:rFonts w:hint="default"/>
          <w:lang w:val="en-US" w:eastAsia="zh-CN"/>
        </w:rPr>
      </w:pPr>
      <w:r>
        <w:rPr>
          <w:rFonts w:hint="eastAsia"/>
          <w:lang w:val="en-US" w:eastAsia="zh-CN"/>
        </w:rPr>
        <w:t>4、公平性，指标总分5分，自评得分5分，其中：</w:t>
      </w:r>
    </w:p>
    <w:p w14:paraId="46AA09F0">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（1）群众信访办理情况，指标总分2分，自评得分2分。对群众信访能100%办理。</w:t>
      </w:r>
    </w:p>
    <w:p w14:paraId="6FD4168A">
      <w:pPr>
        <w:snapToGrid w:val="0"/>
        <w:spacing w:line="360" w:lineRule="auto"/>
        <w:ind w:firstLine="616" w:firstLineChars="200"/>
        <w:rPr>
          <w:rFonts w:hint="eastAsia" w:ascii="仿宋_GB2312" w:hAnsi="华文仿宋" w:cs="仿宋_GB2312"/>
          <w:szCs w:val="32"/>
          <w:lang w:val="en-US" w:eastAsia="zh-CN"/>
        </w:rPr>
      </w:pPr>
      <w:r>
        <w:rPr>
          <w:rFonts w:hint="eastAsia" w:ascii="仿宋_GB2312" w:hAnsi="华文仿宋" w:cs="仿宋_GB2312"/>
          <w:szCs w:val="32"/>
          <w:lang w:val="en-US" w:eastAsia="zh-CN"/>
        </w:rPr>
        <w:t>（2）公众或服务对象满意度，指标总分3分，自评得分3分。公众对我局的履职情况比较满意。</w:t>
      </w:r>
    </w:p>
    <w:p w14:paraId="75561423">
      <w:pPr>
        <w:snapToGrid w:val="0"/>
        <w:spacing w:line="360" w:lineRule="auto"/>
        <w:ind w:firstLine="616" w:firstLineChars="200"/>
        <w:rPr>
          <w:rFonts w:hint="default" w:ascii="仿宋_GB2312" w:hAnsi="华文仿宋" w:cs="仿宋_GB2312"/>
          <w:szCs w:val="32"/>
          <w:lang w:val="en-US" w:eastAsia="zh-CN"/>
        </w:rPr>
      </w:pPr>
      <w:r>
        <w:rPr>
          <w:rFonts w:hint="eastAsia" w:ascii="仿宋_GB2312" w:hAnsi="华文仿宋" w:cs="仿宋_GB2312"/>
          <w:szCs w:val="32"/>
          <w:lang w:val="en-US" w:eastAsia="zh-CN"/>
        </w:rPr>
        <w:t>绩效自评得分99分，自评等级优良。</w:t>
      </w:r>
    </w:p>
    <w:p w14:paraId="4F6897FB">
      <w:pPr>
        <w:ind w:firstLine="616" w:firstLineChars="200"/>
        <w:rPr>
          <w:rFonts w:ascii="方正小标宋简体" w:eastAsia="方正小标宋简体"/>
        </w:rPr>
      </w:pPr>
      <w:bookmarkStart w:id="9" w:name="_Toc2998_WPSOffice_Level1"/>
      <w:bookmarkStart w:id="10" w:name="_Toc2072"/>
      <w:r>
        <w:rPr>
          <w:rFonts w:hint="eastAsia" w:ascii="方正小标宋简体" w:eastAsia="方正小标宋简体"/>
          <w:lang w:eastAsia="zh-CN"/>
        </w:rPr>
        <w:t>六</w:t>
      </w:r>
      <w:r>
        <w:rPr>
          <w:rFonts w:hint="eastAsia" w:ascii="方正小标宋简体" w:eastAsia="方正小标宋简体"/>
        </w:rPr>
        <w:t>、绩效自评分析</w:t>
      </w:r>
      <w:bookmarkEnd w:id="9"/>
      <w:bookmarkEnd w:id="10"/>
    </w:p>
    <w:p w14:paraId="4945217F">
      <w:pPr>
        <w:ind w:firstLine="616" w:firstLineChars="200"/>
        <w:rPr>
          <w:rFonts w:hint="eastAsia"/>
          <w:b/>
        </w:rPr>
      </w:pPr>
      <w:bookmarkStart w:id="11" w:name="_Toc26765_WPSOffice_Level3"/>
      <w:bookmarkStart w:id="12" w:name="_Toc19924"/>
      <w:bookmarkStart w:id="13" w:name="_Toc22677"/>
      <w:bookmarkStart w:id="14" w:name="_Toc27392_WPSOffice_Level2"/>
      <w:r>
        <w:rPr>
          <w:rFonts w:hint="eastAsia"/>
          <w:b/>
        </w:rPr>
        <w:t>（一）预算编制情况</w:t>
      </w:r>
      <w:bookmarkEnd w:id="11"/>
      <w:bookmarkEnd w:id="12"/>
      <w:bookmarkEnd w:id="13"/>
      <w:bookmarkEnd w:id="14"/>
      <w:r>
        <w:rPr>
          <w:rFonts w:hint="eastAsia"/>
          <w:b/>
        </w:rPr>
        <w:t>。</w:t>
      </w:r>
    </w:p>
    <w:p w14:paraId="6FBD4B74">
      <w:pPr>
        <w:ind w:firstLine="616" w:firstLineChars="200"/>
        <w:rPr>
          <w:rFonts w:hint="default"/>
          <w:b w:val="0"/>
          <w:bCs/>
          <w:lang w:val="en-US" w:eastAsia="zh-CN"/>
        </w:rPr>
      </w:pPr>
      <w:r>
        <w:rPr>
          <w:rFonts w:hint="eastAsia"/>
          <w:b w:val="0"/>
          <w:bCs/>
          <w:lang w:val="en-US" w:eastAsia="zh-CN"/>
        </w:rPr>
        <w:t>1、</w:t>
      </w:r>
      <w:bookmarkStart w:id="15" w:name="_Toc4521"/>
      <w:r>
        <w:rPr>
          <w:rFonts w:hint="eastAsia"/>
          <w:b w:val="0"/>
          <w:bCs/>
          <w:lang w:val="en-US" w:eastAsia="zh-CN"/>
        </w:rPr>
        <w:t>预算编制合理性及规范性</w:t>
      </w:r>
    </w:p>
    <w:p w14:paraId="12FE060B">
      <w:pPr>
        <w:ind w:firstLine="616" w:firstLineChars="200"/>
        <w:rPr>
          <w:rFonts w:hint="eastAsia"/>
          <w:b w:val="0"/>
          <w:bCs/>
          <w:lang w:val="en-US" w:eastAsia="zh-CN"/>
        </w:rPr>
      </w:pPr>
      <w:r>
        <w:rPr>
          <w:rFonts w:hint="eastAsia"/>
          <w:b w:val="0"/>
          <w:bCs/>
          <w:lang w:val="en-US" w:eastAsia="zh-CN"/>
        </w:rPr>
        <w:t>合理性：</w:t>
      </w:r>
    </w:p>
    <w:p w14:paraId="2BAF0044">
      <w:pPr>
        <w:ind w:firstLine="924" w:firstLineChars="300"/>
        <w:rPr>
          <w:rFonts w:hint="default" w:ascii="仿宋_GB2312" w:hAnsi="仿宋_GB2312" w:eastAsia="仿宋_GB2312" w:cs="仿宋_GB2312"/>
          <w:szCs w:val="32"/>
          <w:lang w:val="en-US" w:eastAsia="zh-CN" w:bidi="ar"/>
        </w:rPr>
      </w:pPr>
      <w:r>
        <w:rPr>
          <w:rFonts w:hint="eastAsia"/>
          <w:b w:val="0"/>
          <w:bCs/>
          <w:lang w:val="en-US" w:eastAsia="zh-CN"/>
        </w:rPr>
        <w:t>（1）</w:t>
      </w:r>
      <w:r>
        <w:rPr>
          <w:rFonts w:hint="eastAsia" w:ascii="仿宋_GB2312" w:hAnsi="仿宋_GB2312" w:cs="仿宋_GB2312"/>
          <w:szCs w:val="32"/>
          <w:lang w:val="en-US" w:eastAsia="zh-CN" w:bidi="ar"/>
        </w:rPr>
        <w:t>2024年我局预算编制是根据</w:t>
      </w:r>
      <w:r>
        <w:rPr>
          <w:rFonts w:hint="eastAsia" w:ascii="仿宋_GB2312" w:hAnsi="仿宋_GB2312" w:cs="仿宋_GB2312"/>
          <w:szCs w:val="32"/>
          <w:lang w:bidi="ar"/>
        </w:rPr>
        <w:t>县委县政府</w:t>
      </w:r>
      <w:r>
        <w:rPr>
          <w:rFonts w:hint="eastAsia" w:ascii="仿宋_GB2312" w:hAnsi="仿宋_GB2312" w:cs="仿宋_GB2312"/>
          <w:szCs w:val="32"/>
          <w:lang w:val="en-US" w:eastAsia="zh-CN" w:bidi="ar"/>
        </w:rPr>
        <w:t>的工作布置</w:t>
      </w:r>
      <w:r>
        <w:rPr>
          <w:rFonts w:hint="eastAsia" w:ascii="仿宋_GB2312" w:hAnsi="仿宋_GB2312" w:cs="仿宋_GB2312"/>
          <w:szCs w:val="32"/>
          <w:lang w:bidi="ar"/>
        </w:rPr>
        <w:t>和</w:t>
      </w:r>
      <w:r>
        <w:rPr>
          <w:rFonts w:hint="eastAsia" w:ascii="仿宋_GB2312" w:hAnsi="仿宋_GB2312" w:cs="仿宋_GB2312"/>
          <w:szCs w:val="32"/>
          <w:lang w:val="en-US" w:eastAsia="zh-CN" w:bidi="ar"/>
        </w:rPr>
        <w:t>结合我局职责要求而编制。</w:t>
      </w:r>
    </w:p>
    <w:p w14:paraId="7877FF7E">
      <w:pPr>
        <w:ind w:firstLine="924" w:firstLineChars="300"/>
        <w:rPr>
          <w:rFonts w:hint="eastAsia" w:ascii="仿宋_GB2312" w:hAnsi="仿宋_GB2312" w:cs="仿宋_GB2312"/>
          <w:szCs w:val="32"/>
          <w:lang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2</w:t>
      </w:r>
      <w:r>
        <w:rPr>
          <w:rFonts w:hint="eastAsia" w:ascii="仿宋_GB2312" w:hAnsi="仿宋_GB2312" w:cs="仿宋_GB2312"/>
          <w:szCs w:val="32"/>
          <w:lang w:eastAsia="zh-CN" w:bidi="ar"/>
        </w:rPr>
        <w:t>）</w:t>
      </w:r>
      <w:r>
        <w:rPr>
          <w:rFonts w:hint="eastAsia" w:ascii="仿宋_GB2312" w:hAnsi="仿宋_GB2312" w:cs="仿宋_GB2312"/>
          <w:szCs w:val="32"/>
          <w:lang w:bidi="ar"/>
        </w:rPr>
        <w:t>根据年度工作重点，在不同项目、不同用途之间</w:t>
      </w:r>
      <w:r>
        <w:rPr>
          <w:rFonts w:hint="eastAsia" w:ascii="仿宋_GB2312" w:hAnsi="仿宋_GB2312" w:cs="仿宋_GB2312"/>
          <w:szCs w:val="32"/>
          <w:lang w:val="en-US" w:eastAsia="zh-CN" w:bidi="ar"/>
        </w:rPr>
        <w:t>资金</w:t>
      </w:r>
      <w:r>
        <w:rPr>
          <w:rFonts w:hint="eastAsia" w:ascii="仿宋_GB2312" w:hAnsi="仿宋_GB2312" w:cs="仿宋_GB2312"/>
          <w:szCs w:val="32"/>
          <w:lang w:bidi="ar"/>
        </w:rPr>
        <w:t xml:space="preserve">分配合理的 </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能确保工资福利正常发放，机构运转正常</w:t>
      </w:r>
      <w:r>
        <w:rPr>
          <w:rFonts w:hint="eastAsia" w:ascii="仿宋_GB2312" w:hAnsi="仿宋_GB2312" w:cs="仿宋_GB2312"/>
          <w:szCs w:val="32"/>
          <w:lang w:bidi="ar"/>
        </w:rPr>
        <w:t xml:space="preserve"> </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民生工程顺利推进</w:t>
      </w:r>
      <w:r>
        <w:rPr>
          <w:rFonts w:hint="eastAsia" w:ascii="仿宋_GB2312" w:hAnsi="仿宋_GB2312" w:cs="仿宋_GB2312"/>
          <w:szCs w:val="32"/>
          <w:lang w:bidi="ar"/>
        </w:rPr>
        <w:t xml:space="preserve"> </w:t>
      </w:r>
      <w:r>
        <w:rPr>
          <w:rFonts w:hint="eastAsia" w:ascii="仿宋_GB2312" w:hAnsi="仿宋_GB2312" w:cs="仿宋_GB2312"/>
          <w:szCs w:val="32"/>
          <w:lang w:eastAsia="zh-CN" w:bidi="ar"/>
        </w:rPr>
        <w:t>。</w:t>
      </w:r>
      <w:r>
        <w:rPr>
          <w:rFonts w:hint="eastAsia" w:ascii="仿宋_GB2312" w:hAnsi="仿宋_GB2312" w:cs="仿宋_GB2312"/>
          <w:szCs w:val="32"/>
          <w:lang w:bidi="ar"/>
        </w:rPr>
        <w:t xml:space="preserve">                                                        </w:t>
      </w:r>
    </w:p>
    <w:p w14:paraId="74D859A3">
      <w:pPr>
        <w:ind w:firstLine="924" w:firstLineChars="300"/>
        <w:rPr>
          <w:rFonts w:hint="eastAsia" w:ascii="仿宋_GB2312" w:hAnsi="仿宋_GB2312" w:cs="仿宋_GB2312"/>
          <w:szCs w:val="32"/>
          <w:lang w:eastAsia="zh-CN"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3</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预算编制</w:t>
      </w:r>
      <w:r>
        <w:rPr>
          <w:rFonts w:hint="eastAsia" w:ascii="仿宋_GB2312" w:hAnsi="仿宋_GB2312" w:cs="仿宋_GB2312"/>
          <w:szCs w:val="32"/>
          <w:lang w:bidi="ar"/>
        </w:rPr>
        <w:t>细化程度合理，功能分类和经济分类编制准确</w:t>
      </w:r>
      <w:r>
        <w:rPr>
          <w:rFonts w:hint="eastAsia" w:ascii="仿宋_GB2312" w:hAnsi="仿宋_GB2312" w:cs="仿宋_GB2312"/>
          <w:szCs w:val="32"/>
          <w:lang w:eastAsia="zh-CN" w:bidi="ar"/>
        </w:rPr>
        <w:t>。</w:t>
      </w:r>
    </w:p>
    <w:p w14:paraId="036354D6">
      <w:pPr>
        <w:ind w:firstLine="924" w:firstLineChars="300"/>
        <w:rPr>
          <w:rFonts w:hint="eastAsia" w:ascii="仿宋_GB2312" w:hAnsi="仿宋_GB2312" w:cs="仿宋_GB2312"/>
          <w:szCs w:val="32"/>
          <w:lang w:bidi="ar"/>
        </w:rPr>
      </w:pPr>
      <w:r>
        <w:rPr>
          <w:rFonts w:hint="eastAsia" w:ascii="仿宋_GB2312" w:hAnsi="仿宋_GB2312" w:cs="仿宋_GB2312"/>
          <w:szCs w:val="32"/>
          <w:lang w:val="en-US" w:eastAsia="zh-CN" w:bidi="ar"/>
        </w:rPr>
        <w:t>规范性：</w:t>
      </w:r>
      <w:r>
        <w:rPr>
          <w:rFonts w:hint="eastAsia" w:ascii="仿宋_GB2312" w:hAnsi="仿宋_GB2312" w:cs="仿宋_GB2312"/>
          <w:szCs w:val="32"/>
          <w:lang w:bidi="ar"/>
        </w:rPr>
        <w:t xml:space="preserve">                                                                                       </w:t>
      </w:r>
    </w:p>
    <w:bookmarkEnd w:id="15"/>
    <w:p w14:paraId="616BFB51">
      <w:pPr>
        <w:ind w:firstLine="924" w:firstLineChars="300"/>
        <w:rPr>
          <w:rFonts w:hint="eastAsia" w:ascii="仿宋_GB2312" w:hAnsi="仿宋_GB2312" w:eastAsia="仿宋_GB2312" w:cs="仿宋_GB2312"/>
          <w:szCs w:val="32"/>
          <w:lang w:eastAsia="zh-CN"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1</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2024年我局</w:t>
      </w:r>
      <w:r>
        <w:rPr>
          <w:rFonts w:hint="eastAsia" w:ascii="仿宋_GB2312" w:hAnsi="仿宋_GB2312" w:cs="仿宋_GB2312"/>
          <w:szCs w:val="32"/>
          <w:lang w:bidi="ar"/>
        </w:rPr>
        <w:t>预算编制符合当年县财政部门印发的预算编制工作方案、通知和有关制度要求</w:t>
      </w:r>
      <w:r>
        <w:rPr>
          <w:rFonts w:hint="eastAsia" w:ascii="仿宋_GB2312" w:hAnsi="仿宋_GB2312" w:cs="仿宋_GB2312"/>
          <w:szCs w:val="32"/>
          <w:lang w:eastAsia="zh-CN" w:bidi="ar"/>
        </w:rPr>
        <w:t>。</w:t>
      </w:r>
    </w:p>
    <w:p w14:paraId="6018C3FC">
      <w:pPr>
        <w:ind w:firstLine="924" w:firstLineChars="300"/>
        <w:rPr>
          <w:rFonts w:hint="eastAsia" w:ascii="仿宋_GB2312" w:hAnsi="仿宋_GB2312" w:eastAsia="仿宋_GB2312" w:cs="仿宋_GB2312"/>
          <w:szCs w:val="32"/>
          <w:lang w:eastAsia="zh-CN"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2</w:t>
      </w:r>
      <w:r>
        <w:rPr>
          <w:rFonts w:hint="eastAsia" w:ascii="仿宋_GB2312" w:hAnsi="仿宋_GB2312" w:cs="仿宋_GB2312"/>
          <w:szCs w:val="32"/>
          <w:lang w:eastAsia="zh-CN" w:bidi="ar"/>
        </w:rPr>
        <w:t>）</w:t>
      </w:r>
      <w:r>
        <w:rPr>
          <w:rFonts w:hint="eastAsia" w:ascii="仿宋_GB2312" w:hAnsi="仿宋_GB2312" w:cs="仿宋_GB2312"/>
          <w:szCs w:val="32"/>
          <w:lang w:bidi="ar"/>
        </w:rPr>
        <w:t>按要求做好项目库工作，符合项目库入库管理、评审管理等要求的</w:t>
      </w:r>
      <w:r>
        <w:rPr>
          <w:rFonts w:hint="eastAsia" w:ascii="仿宋_GB2312" w:hAnsi="仿宋_GB2312" w:cs="仿宋_GB2312"/>
          <w:szCs w:val="32"/>
          <w:lang w:eastAsia="zh-CN" w:bidi="ar"/>
        </w:rPr>
        <w:t>。</w:t>
      </w:r>
    </w:p>
    <w:p w14:paraId="101E6A5F">
      <w:pPr>
        <w:ind w:firstLine="924" w:firstLineChars="300"/>
        <w:rPr>
          <w:rFonts w:ascii="仿宋_GB2312" w:hAnsi="仿宋_GB2312" w:cs="仿宋_GB2312"/>
          <w:szCs w:val="32"/>
          <w:lang w:bidi="ar"/>
        </w:rPr>
      </w:pP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3</w:t>
      </w:r>
      <w:r>
        <w:rPr>
          <w:rFonts w:hint="eastAsia" w:ascii="仿宋_GB2312" w:hAnsi="仿宋_GB2312" w:cs="仿宋_GB2312"/>
          <w:szCs w:val="32"/>
          <w:lang w:eastAsia="zh-CN" w:bidi="ar"/>
        </w:rPr>
        <w:t>）</w:t>
      </w:r>
      <w:r>
        <w:rPr>
          <w:rFonts w:hint="eastAsia" w:ascii="仿宋_GB2312" w:hAnsi="仿宋_GB2312" w:cs="仿宋_GB2312"/>
          <w:szCs w:val="32"/>
          <w:lang w:val="en-US" w:eastAsia="zh-CN" w:bidi="ar"/>
        </w:rPr>
        <w:t>预算编制准确，公开及时，没有出现整改情况</w:t>
      </w:r>
      <w:r>
        <w:rPr>
          <w:rFonts w:hint="eastAsia" w:ascii="仿宋_GB2312" w:hAnsi="仿宋_GB2312" w:cs="仿宋_GB2312"/>
          <w:szCs w:val="32"/>
          <w:lang w:bidi="ar"/>
        </w:rPr>
        <w:t>。</w:t>
      </w:r>
    </w:p>
    <w:p w14:paraId="633373C4">
      <w:pPr>
        <w:rPr>
          <w:rFonts w:hint="eastAsia" w:ascii="仿宋_GB2312" w:hAnsi="仿宋_GB2312" w:cs="仿宋_GB2312"/>
          <w:szCs w:val="32"/>
          <w:lang w:bidi="ar"/>
        </w:rPr>
      </w:pPr>
      <w:bookmarkStart w:id="16" w:name="_Toc8156"/>
      <w:r>
        <w:rPr>
          <w:rFonts w:hint="eastAsia" w:ascii="仿宋_GB2312" w:hAnsi="仿宋_GB2312" w:cs="仿宋_GB2312"/>
          <w:szCs w:val="32"/>
          <w:lang w:bidi="ar"/>
        </w:rPr>
        <w:t xml:space="preserve">      2.目标设置情况。</w:t>
      </w:r>
      <w:bookmarkEnd w:id="16"/>
    </w:p>
    <w:p w14:paraId="6D624C3A">
      <w:pPr>
        <w:rPr>
          <w:rFonts w:hint="default" w:ascii="仿宋_GB2312" w:hAnsi="仿宋_GB2312" w:eastAsia="仿宋_GB2312" w:cs="仿宋_GB2312"/>
          <w:szCs w:val="32"/>
          <w:lang w:val="en-US" w:eastAsia="zh-CN" w:bidi="ar"/>
        </w:rPr>
      </w:pPr>
      <w:r>
        <w:rPr>
          <w:rFonts w:hint="eastAsia" w:ascii="仿宋_GB2312" w:hAnsi="仿宋_GB2312" w:cs="仿宋_GB2312"/>
          <w:szCs w:val="32"/>
          <w:lang w:val="en-US" w:eastAsia="zh-CN" w:bidi="ar"/>
        </w:rPr>
        <w:t xml:space="preserve">    （1）绩效目标合理性</w:t>
      </w:r>
    </w:p>
    <w:p w14:paraId="574D0E3C">
      <w:pPr>
        <w:ind w:firstLine="616" w:firstLineChars="200"/>
        <w:rPr>
          <w:rFonts w:hint="eastAsia" w:ascii="仿宋_GB2312" w:hAnsi="仿宋_GB2312" w:cs="仿宋_GB2312"/>
          <w:szCs w:val="32"/>
          <w:lang w:eastAsia="zh-CN" w:bidi="ar"/>
        </w:rPr>
      </w:pPr>
      <w:r>
        <w:rPr>
          <w:rFonts w:hint="eastAsia" w:ascii="仿宋_GB2312" w:hAnsi="仿宋_GB2312" w:cs="仿宋_GB2312"/>
          <w:szCs w:val="32"/>
          <w:lang w:val="en-US" w:eastAsia="zh-CN" w:bidi="ar"/>
        </w:rPr>
        <w:t>绩效目标是根据我局</w:t>
      </w:r>
      <w:r>
        <w:rPr>
          <w:rFonts w:hint="eastAsia" w:ascii="仿宋_GB2312" w:hAnsi="仿宋_GB2312" w:cs="仿宋_GB2312"/>
          <w:szCs w:val="32"/>
          <w:lang w:bidi="ar"/>
        </w:rPr>
        <w:t>“三定”方案规定</w:t>
      </w:r>
      <w:r>
        <w:rPr>
          <w:rFonts w:hint="eastAsia" w:ascii="仿宋_GB2312" w:hAnsi="仿宋_GB2312" w:cs="仿宋_GB2312"/>
          <w:szCs w:val="32"/>
          <w:lang w:val="en-US" w:eastAsia="zh-CN" w:bidi="ar"/>
        </w:rPr>
        <w:t>的部门职责、</w:t>
      </w:r>
      <w:r>
        <w:rPr>
          <w:rFonts w:hint="eastAsia" w:ascii="仿宋_GB2312" w:hAnsi="仿宋_GB2312" w:cs="仿宋_GB2312"/>
          <w:szCs w:val="32"/>
          <w:lang w:bidi="ar"/>
        </w:rPr>
        <w:t>年度工作计划</w:t>
      </w:r>
      <w:r>
        <w:rPr>
          <w:rFonts w:hint="eastAsia" w:ascii="仿宋_GB2312" w:hAnsi="仿宋_GB2312" w:cs="仿宋_GB2312"/>
          <w:szCs w:val="32"/>
          <w:lang w:val="en-US" w:eastAsia="zh-CN" w:bidi="ar"/>
        </w:rPr>
        <w:t>和中长期发展而设置；</w:t>
      </w:r>
      <w:r>
        <w:rPr>
          <w:rFonts w:hint="eastAsia" w:ascii="仿宋_GB2312" w:hAnsi="仿宋_GB2312" w:cs="仿宋_GB2312"/>
          <w:szCs w:val="32"/>
          <w:lang w:bidi="ar"/>
        </w:rPr>
        <w:t>绩效目标与年度工作任务相符的，能分解成具体工作任务并形成相应的绩效指标</w:t>
      </w:r>
      <w:r>
        <w:rPr>
          <w:rFonts w:hint="eastAsia" w:ascii="仿宋_GB2312" w:hAnsi="仿宋_GB2312" w:cs="仿宋_GB2312"/>
          <w:szCs w:val="32"/>
          <w:lang w:val="en-US" w:eastAsia="zh-CN" w:bidi="ar"/>
        </w:rPr>
        <w:t>；</w:t>
      </w:r>
      <w:r>
        <w:rPr>
          <w:rFonts w:hint="eastAsia" w:ascii="仿宋_GB2312" w:hAnsi="仿宋_GB2312" w:cs="仿宋_GB2312"/>
          <w:szCs w:val="32"/>
          <w:lang w:bidi="ar"/>
        </w:rPr>
        <w:t>绩效目标与本年度部门预算资金相匹配的</w:t>
      </w:r>
      <w:r>
        <w:rPr>
          <w:rFonts w:hint="eastAsia" w:ascii="仿宋_GB2312" w:hAnsi="仿宋_GB2312" w:cs="仿宋_GB2312"/>
          <w:szCs w:val="32"/>
          <w:lang w:val="en-US" w:eastAsia="zh-CN" w:bidi="ar"/>
        </w:rPr>
        <w:t>；</w:t>
      </w:r>
      <w:r>
        <w:rPr>
          <w:rFonts w:hint="eastAsia" w:ascii="仿宋_GB2312" w:hAnsi="仿宋_GB2312" w:cs="仿宋_GB2312"/>
          <w:szCs w:val="32"/>
          <w:lang w:bidi="ar"/>
        </w:rPr>
        <w:t xml:space="preserve"> </w:t>
      </w:r>
      <w:r>
        <w:rPr>
          <w:rFonts w:hint="eastAsia" w:ascii="仿宋_GB2312" w:hAnsi="仿宋_GB2312" w:cs="仿宋_GB2312"/>
          <w:szCs w:val="32"/>
          <w:lang w:val="en-US" w:eastAsia="zh-CN" w:bidi="ar"/>
        </w:rPr>
        <w:t>所有的建设</w:t>
      </w:r>
      <w:r>
        <w:rPr>
          <w:rFonts w:hint="eastAsia" w:ascii="仿宋_GB2312" w:hAnsi="仿宋_GB2312" w:cs="仿宋_GB2312"/>
          <w:szCs w:val="32"/>
          <w:lang w:bidi="ar"/>
        </w:rPr>
        <w:t>项目</w:t>
      </w:r>
      <w:r>
        <w:rPr>
          <w:rFonts w:hint="eastAsia" w:ascii="仿宋_GB2312" w:hAnsi="仿宋_GB2312" w:cs="仿宋_GB2312"/>
          <w:szCs w:val="32"/>
          <w:lang w:val="en-US" w:eastAsia="zh-CN" w:bidi="ar"/>
        </w:rPr>
        <w:t>都有政府批复，该立项的立项，该需做概算的做概算，该</w:t>
      </w:r>
      <w:r>
        <w:rPr>
          <w:rFonts w:hint="eastAsia" w:ascii="仿宋_GB2312" w:hAnsi="仿宋_GB2312" w:cs="仿宋_GB2312"/>
          <w:szCs w:val="32"/>
          <w:lang w:bidi="ar"/>
        </w:rPr>
        <w:t>进行可行性研究</w:t>
      </w:r>
      <w:r>
        <w:rPr>
          <w:rFonts w:hint="eastAsia" w:ascii="仿宋_GB2312" w:hAnsi="仿宋_GB2312" w:cs="仿宋_GB2312"/>
          <w:szCs w:val="32"/>
          <w:lang w:val="en-US" w:eastAsia="zh-CN" w:bidi="ar"/>
        </w:rPr>
        <w:t>的</w:t>
      </w:r>
      <w:r>
        <w:rPr>
          <w:rFonts w:hint="eastAsia" w:ascii="仿宋_GB2312" w:hAnsi="仿宋_GB2312" w:cs="仿宋_GB2312"/>
          <w:szCs w:val="32"/>
          <w:lang w:bidi="ar"/>
        </w:rPr>
        <w:t>和充分论证的</w:t>
      </w:r>
      <w:r>
        <w:rPr>
          <w:rFonts w:hint="eastAsia" w:ascii="仿宋_GB2312" w:hAnsi="仿宋_GB2312" w:cs="仿宋_GB2312"/>
          <w:szCs w:val="32"/>
          <w:lang w:val="en-US" w:eastAsia="zh-CN" w:bidi="ar"/>
        </w:rPr>
        <w:t>就做</w:t>
      </w:r>
      <w:r>
        <w:rPr>
          <w:rFonts w:hint="eastAsia" w:ascii="仿宋_GB2312" w:hAnsi="仿宋_GB2312" w:cs="仿宋_GB2312"/>
          <w:szCs w:val="32"/>
          <w:lang w:eastAsia="zh-CN" w:bidi="ar"/>
        </w:rPr>
        <w:t>。</w:t>
      </w:r>
    </w:p>
    <w:p w14:paraId="6690F4FF">
      <w:pPr>
        <w:numPr>
          <w:ilvl w:val="0"/>
          <w:numId w:val="3"/>
        </w:numPr>
        <w:ind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绩效目标完整性</w:t>
      </w:r>
    </w:p>
    <w:p w14:paraId="0E3D41D4">
      <w:pPr>
        <w:numPr>
          <w:ilvl w:val="0"/>
          <w:numId w:val="0"/>
        </w:numPr>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 xml:space="preserve">    我局所有项目都有绩效目标和项目绩效目标，覆盖全面；能按时按质报送部门整体绩效目标和项目绩效目标，内容真实、完整、准确。</w:t>
      </w:r>
    </w:p>
    <w:p w14:paraId="72D7BB75">
      <w:pPr>
        <w:numPr>
          <w:ilvl w:val="0"/>
          <w:numId w:val="3"/>
        </w:numPr>
        <w:ind w:firstLine="616" w:firstLineChars="20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绩效目标明确性</w:t>
      </w:r>
    </w:p>
    <w:p w14:paraId="7AED6273">
      <w:pPr>
        <w:numPr>
          <w:ilvl w:val="0"/>
          <w:numId w:val="0"/>
        </w:numPr>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 xml:space="preserve">    绩效指标设有明确的指标名称、指标预期值，指标值与指标名称相匹配，且取值适中合理、有依据、不存在明显偏高或偏低的情形；绩效指标有可量化的指标的并明确计算方法的；绩效指标的指标值测算能提供相关依据或符合客观实际情况。</w:t>
      </w:r>
    </w:p>
    <w:p w14:paraId="28D97035">
      <w:pPr>
        <w:ind w:firstLine="616" w:firstLineChars="200"/>
        <w:rPr>
          <w:b/>
        </w:rPr>
      </w:pPr>
      <w:bookmarkStart w:id="17" w:name="_Toc32482"/>
      <w:bookmarkStart w:id="18" w:name="_Toc5828_WPSOffice_Level3"/>
      <w:bookmarkStart w:id="19" w:name="_Toc13662"/>
      <w:bookmarkStart w:id="20" w:name="_Toc19200_WPSOffice_Level2"/>
      <w:r>
        <w:rPr>
          <w:rFonts w:hint="eastAsia"/>
          <w:b/>
        </w:rPr>
        <w:t>（二）预算执行情况</w:t>
      </w:r>
      <w:bookmarkEnd w:id="17"/>
      <w:bookmarkEnd w:id="18"/>
      <w:bookmarkEnd w:id="19"/>
      <w:bookmarkEnd w:id="20"/>
      <w:r>
        <w:rPr>
          <w:rFonts w:hint="eastAsia"/>
          <w:b/>
        </w:rPr>
        <w:t>。</w:t>
      </w:r>
    </w:p>
    <w:p w14:paraId="5B73573C">
      <w:pPr>
        <w:ind w:firstLine="924" w:firstLineChars="300"/>
        <w:rPr>
          <w:rFonts w:hint="eastAsia" w:ascii="仿宋_GB2312" w:hAnsi="仿宋_GB2312" w:cs="仿宋_GB2312"/>
          <w:szCs w:val="32"/>
          <w:lang w:bidi="ar"/>
        </w:rPr>
      </w:pPr>
      <w:r>
        <w:rPr>
          <w:rFonts w:hint="eastAsia" w:ascii="仿宋_GB2312" w:hAnsi="仿宋_GB2312" w:cs="仿宋_GB2312"/>
          <w:szCs w:val="32"/>
          <w:lang w:bidi="ar"/>
        </w:rPr>
        <w:t>1.制度管理。</w:t>
      </w:r>
    </w:p>
    <w:p w14:paraId="226271EF">
      <w:pPr>
        <w:ind w:firstLine="924" w:firstLineChars="300"/>
        <w:rPr>
          <w:rFonts w:hint="default" w:ascii="仿宋_GB2312" w:hAnsi="仿宋_GB2312" w:cs="仿宋_GB2312"/>
          <w:bCs/>
          <w:szCs w:val="32"/>
          <w:lang w:val="en-US" w:bidi="ar"/>
        </w:rPr>
      </w:pPr>
      <w:r>
        <w:rPr>
          <w:rFonts w:hint="eastAsia" w:ascii="仿宋_GB2312" w:hAnsi="仿宋_GB2312" w:cs="仿宋_GB2312"/>
          <w:szCs w:val="32"/>
          <w:lang w:val="en-US" w:eastAsia="zh-CN" w:bidi="ar"/>
        </w:rPr>
        <w:t>我局已制订了以下内部管理制度</w:t>
      </w:r>
      <w:r>
        <w:rPr>
          <w:rFonts w:hint="eastAsia" w:ascii="仿宋_GB2312" w:hAnsi="仿宋_GB2312" w:cs="仿宋_GB2312"/>
          <w:szCs w:val="32"/>
          <w:lang w:eastAsia="zh-CN" w:bidi="ar"/>
        </w:rPr>
        <w:t>《</w:t>
      </w:r>
      <w:r>
        <w:rPr>
          <w:rFonts w:hint="eastAsia" w:ascii="仿宋_GB2312" w:hAnsi="仿宋_GB2312" w:cs="仿宋_GB2312"/>
          <w:bCs/>
          <w:szCs w:val="32"/>
          <w:lang w:val="en-US" w:eastAsia="zh-CN" w:bidi="ar"/>
        </w:rPr>
        <w:t>阳西县城市管理和综合执法局合同管理制度》、《阳西县城市管理和综合执法局收支业务管理制度》、《阳西县城市管理和综合执法局预算业务管理制度》、《阳西县城市管理和综合执法局政府采购业务管理制度》、《阳西县城市管理和综合执法局公务接待管理制度》、《阳西县城市管理和综合执法局建设项目管理制度》、《阳西县城市管理和综合执法局公务用车管理制度》、《阳西县城市管理和综合执法局考勤管理制度》、《阳西县城市管理和综合执法局机关食堂管理暂行办法》、《阳西县城市管理和综合执法局差旅费管理办法》、《阳西县城市管理和综合执法局会议费管理办法》、《阳西县城市管理和综合执法局培训费管理办法》、《公务卡管理制度》等。</w:t>
      </w:r>
    </w:p>
    <w:p w14:paraId="4B2E042F">
      <w:pPr>
        <w:ind w:firstLine="924" w:firstLineChars="300"/>
        <w:rPr>
          <w:rFonts w:ascii="仿宋_GB2312" w:hAnsi="仿宋_GB2312" w:cs="仿宋_GB2312"/>
          <w:bCs/>
          <w:szCs w:val="32"/>
          <w:lang w:bidi="ar"/>
        </w:rPr>
      </w:pPr>
      <w:bookmarkStart w:id="21" w:name="_Toc3319"/>
      <w:r>
        <w:rPr>
          <w:rFonts w:hint="eastAsia" w:ascii="仿宋_GB2312" w:hAnsi="仿宋_GB2312" w:cs="仿宋_GB2312"/>
          <w:szCs w:val="32"/>
          <w:lang w:bidi="ar"/>
        </w:rPr>
        <w:t>2.资金管理。</w:t>
      </w:r>
      <w:bookmarkEnd w:id="21"/>
    </w:p>
    <w:p w14:paraId="0837024D">
      <w:pPr>
        <w:ind w:firstLine="616" w:firstLineChars="200"/>
        <w:rPr>
          <w:rFonts w:hint="default" w:ascii="仿宋_GB2312" w:hAnsi="仿宋_GB2312" w:eastAsia="仿宋_GB2312" w:cs="仿宋_GB2312"/>
          <w:bCs/>
          <w:szCs w:val="32"/>
          <w:lang w:val="en-US" w:eastAsia="zh-CN" w:bidi="ar"/>
        </w:rPr>
      </w:pPr>
      <w:r>
        <w:rPr>
          <w:rFonts w:hint="eastAsia" w:ascii="仿宋_GB2312" w:hAnsi="仿宋_GB2312" w:cs="仿宋_GB2312"/>
          <w:bCs/>
          <w:szCs w:val="32"/>
          <w:lang w:val="en-US" w:eastAsia="zh-CN" w:bidi="ar"/>
        </w:rPr>
        <w:t>我局资金管理严格按照我局制订的《阳西县城市管理和综合执法局合同管理制度》、《阳西县城市管理和综合执法局收支业务管理制度》、《阳西县城市管理和综合执法局预算业务管理制度》及</w:t>
      </w:r>
      <w:r>
        <w:rPr>
          <w:rFonts w:hint="eastAsia" w:ascii="仿宋_GB2312" w:hAnsi="仿宋_GB2312" w:cs="仿宋_GB2312"/>
          <w:bCs/>
          <w:color w:val="auto"/>
          <w:szCs w:val="32"/>
          <w:lang w:val="en-US" w:eastAsia="zh-CN" w:bidi="ar"/>
        </w:rPr>
        <w:t>《阳西县城市管理和综合执法局政府采购业务管理制度》等内部管理制度执行。2024年度我局资金下达合法、依规，做到先有项目及绩效目标，后有财政申请支出，严格执行先事后财。2024年初预算财政拨款收入3546万元， 调整增加预算财政拨款收入24731.88万元，上年结转财政拨款收入51.75万元；本年财政拨款支出19968.21万元，结转下年4815.42万元，支出完成率80.57%。该政府采购的项目我局严格按照政府采购管理办法及采购程序进行采购。资金支出资料完整、手续齐全、合法、合规，无存在挪用、占用、滞留资金情况。预决算公开规范、</w:t>
      </w:r>
      <w:r>
        <w:rPr>
          <w:rFonts w:hint="eastAsia" w:ascii="仿宋_GB2312" w:hAnsi="仿宋_GB2312" w:cs="仿宋_GB2312"/>
          <w:bCs/>
          <w:szCs w:val="32"/>
          <w:lang w:val="en-US" w:eastAsia="zh-CN" w:bidi="ar"/>
        </w:rPr>
        <w:t>及时、准确。</w:t>
      </w:r>
    </w:p>
    <w:p w14:paraId="2E74F7F0">
      <w:pPr>
        <w:numPr>
          <w:ilvl w:val="0"/>
          <w:numId w:val="4"/>
        </w:numPr>
        <w:ind w:firstLine="924" w:firstLineChars="300"/>
        <w:rPr>
          <w:rFonts w:hint="eastAsia" w:ascii="仿宋_GB2312" w:hAnsi="仿宋_GB2312" w:cs="仿宋_GB2312"/>
          <w:szCs w:val="32"/>
          <w:lang w:bidi="ar"/>
        </w:rPr>
      </w:pPr>
      <w:bookmarkStart w:id="22" w:name="_Toc29827"/>
      <w:r>
        <w:rPr>
          <w:rFonts w:hint="eastAsia" w:ascii="仿宋_GB2312" w:hAnsi="仿宋_GB2312" w:cs="仿宋_GB2312"/>
          <w:szCs w:val="32"/>
          <w:lang w:bidi="ar"/>
        </w:rPr>
        <w:t>项目管理。</w:t>
      </w:r>
      <w:bookmarkEnd w:id="22"/>
    </w:p>
    <w:p w14:paraId="65A117E9">
      <w:pPr>
        <w:numPr>
          <w:ilvl w:val="0"/>
          <w:numId w:val="0"/>
        </w:numPr>
        <w:rPr>
          <w:rFonts w:hint="default" w:ascii="仿宋_GB2312" w:hAnsi="仿宋_GB2312" w:eastAsia="仿宋_GB2312" w:cs="仿宋_GB2312"/>
          <w:szCs w:val="32"/>
          <w:lang w:val="en-US" w:eastAsia="zh-CN" w:bidi="ar"/>
        </w:rPr>
      </w:pPr>
      <w:r>
        <w:rPr>
          <w:rFonts w:hint="eastAsia" w:ascii="仿宋_GB2312" w:hAnsi="仿宋_GB2312" w:cs="仿宋_GB2312"/>
          <w:szCs w:val="32"/>
          <w:lang w:val="en-US" w:eastAsia="zh-CN" w:bidi="ar"/>
        </w:rPr>
        <w:t xml:space="preserve">    项目管理严格按照我局制订的内部管理制度《阳西县城市管理和综合执法局项目管理制度》规定执行，具体情况：</w:t>
      </w:r>
    </w:p>
    <w:p w14:paraId="59B40F3A">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第一条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为规范本局财政投资基本建设项目</w:t>
      </w:r>
      <w:r>
        <w:rPr>
          <w:rFonts w:ascii="仿宋" w:hAnsi="仿宋" w:eastAsia="仿宋" w:cs="仿宋"/>
          <w:color w:val="000000"/>
          <w:sz w:val="32"/>
          <w:szCs w:val="32"/>
        </w:rPr>
        <w:t>(</w:t>
      </w:r>
      <w:r>
        <w:rPr>
          <w:rFonts w:hint="eastAsia" w:ascii="仿宋" w:hAnsi="仿宋" w:eastAsia="仿宋" w:cs="仿宋"/>
          <w:color w:val="000000"/>
          <w:sz w:val="32"/>
          <w:szCs w:val="32"/>
        </w:rPr>
        <w:t>以下称项目或工程</w:t>
      </w:r>
      <w:r>
        <w:rPr>
          <w:rFonts w:ascii="仿宋" w:hAnsi="仿宋" w:eastAsia="仿宋" w:cs="仿宋"/>
          <w:color w:val="000000"/>
          <w:sz w:val="32"/>
          <w:szCs w:val="32"/>
        </w:rPr>
        <w:t>)</w:t>
      </w:r>
      <w:r>
        <w:rPr>
          <w:rFonts w:hint="eastAsia" w:ascii="仿宋" w:hAnsi="仿宋" w:eastAsia="仿宋" w:cs="仿宋"/>
          <w:color w:val="000000"/>
          <w:sz w:val="32"/>
          <w:szCs w:val="32"/>
        </w:rPr>
        <w:t>的管理，提高办事效率，保证工程质量和施工安全，降低工程成本，提高投资效益，根据有关法律和规章，结合本街道实际，制定本制度。</w:t>
      </w:r>
    </w:p>
    <w:p w14:paraId="674987AC">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第二条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基本建设项目管理必须坚持以下原则：</w:t>
      </w:r>
    </w:p>
    <w:p w14:paraId="45333F9A">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一</w:t>
      </w:r>
      <w:r>
        <w:rPr>
          <w:rFonts w:ascii="仿宋" w:hAnsi="仿宋" w:eastAsia="仿宋" w:cs="仿宋"/>
          <w:color w:val="000000"/>
          <w:sz w:val="32"/>
          <w:szCs w:val="32"/>
        </w:rPr>
        <w:t>)</w:t>
      </w:r>
      <w:r>
        <w:rPr>
          <w:rFonts w:hint="eastAsia" w:ascii="仿宋" w:hAnsi="仿宋" w:eastAsia="仿宋" w:cs="仿宋"/>
          <w:color w:val="000000"/>
          <w:sz w:val="32"/>
          <w:szCs w:val="32"/>
        </w:rPr>
        <w:t>尊重基本建设规律，遵守基本建设程序，坚持深化前期工作，规范管理过程，加强事后监督，在注重程序规范的同时不影响效率的提高。</w:t>
      </w:r>
    </w:p>
    <w:p w14:paraId="441FECC3">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二</w:t>
      </w:r>
      <w:r>
        <w:rPr>
          <w:rFonts w:ascii="仿宋" w:hAnsi="仿宋" w:eastAsia="仿宋" w:cs="仿宋"/>
          <w:color w:val="000000"/>
          <w:sz w:val="32"/>
          <w:szCs w:val="32"/>
        </w:rPr>
        <w:t>)</w:t>
      </w:r>
      <w:r>
        <w:rPr>
          <w:rFonts w:hint="eastAsia" w:ascii="仿宋" w:hAnsi="仿宋" w:eastAsia="仿宋" w:cs="仿宋"/>
          <w:color w:val="000000"/>
          <w:sz w:val="32"/>
          <w:szCs w:val="32"/>
        </w:rPr>
        <w:t>努力建立分工科学、主体明确、职责具体、权责统一、环节简化、程序规范、效率保证、监督到位、制约有力的管理机制和方法。</w:t>
      </w:r>
    </w:p>
    <w:p w14:paraId="4F8DC7B0">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三</w:t>
      </w:r>
      <w:r>
        <w:rPr>
          <w:rFonts w:ascii="仿宋" w:hAnsi="仿宋" w:eastAsia="仿宋" w:cs="仿宋"/>
          <w:color w:val="000000"/>
          <w:sz w:val="32"/>
          <w:szCs w:val="32"/>
        </w:rPr>
        <w:t>)</w:t>
      </w:r>
      <w:r>
        <w:rPr>
          <w:rFonts w:hint="eastAsia" w:ascii="仿宋" w:hAnsi="仿宋" w:eastAsia="仿宋" w:cs="仿宋"/>
          <w:color w:val="000000"/>
          <w:sz w:val="32"/>
          <w:szCs w:val="32"/>
        </w:rPr>
        <w:t>以科学发展观为指导、以“实用、经济、牢固、美观”为项目设计定位的指导思想，兼顾适度超前和可持续发展，注意降低项目投入使用后的运行成本和管理维护费用。</w:t>
      </w:r>
    </w:p>
    <w:p w14:paraId="76603458">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四</w:t>
      </w:r>
      <w:r>
        <w:rPr>
          <w:rFonts w:ascii="仿宋" w:hAnsi="仿宋" w:eastAsia="仿宋" w:cs="仿宋"/>
          <w:color w:val="000000"/>
          <w:sz w:val="32"/>
          <w:szCs w:val="32"/>
        </w:rPr>
        <w:t>)</w:t>
      </w:r>
      <w:r>
        <w:rPr>
          <w:rFonts w:hint="eastAsia" w:ascii="仿宋" w:hAnsi="仿宋" w:eastAsia="仿宋" w:cs="仿宋"/>
          <w:color w:val="000000"/>
          <w:sz w:val="32"/>
          <w:szCs w:val="32"/>
        </w:rPr>
        <w:t>推行投资预算硬约束制度，实行限额设计。坚持估算控制概算，概算控制预算，预算控制结算。未经</w:t>
      </w:r>
      <w:r>
        <w:fldChar w:fldCharType="begin"/>
      </w:r>
      <w:r>
        <w:instrText xml:space="preserve"> HYPERLINK "http://gw.yjbys.com/guiding/" \t "http://gw.yjbys.com/zhidu/_blank" </w:instrText>
      </w:r>
      <w:r>
        <w:fldChar w:fldCharType="separate"/>
      </w:r>
      <w:r>
        <w:rPr>
          <w:rFonts w:hint="eastAsia" w:ascii="仿宋" w:hAnsi="仿宋" w:eastAsia="仿宋" w:cs="仿宋"/>
          <w:color w:val="000000"/>
          <w:sz w:val="32"/>
          <w:szCs w:val="32"/>
        </w:rPr>
        <w:t>规定</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程序批准，不得擅自突破投资预算。</w:t>
      </w:r>
    </w:p>
    <w:p w14:paraId="64FE5721">
      <w:pPr>
        <w:pStyle w:val="6"/>
        <w:widowControl/>
        <w:spacing w:line="520" w:lineRule="exact"/>
        <w:ind w:firstLine="640"/>
        <w:rPr>
          <w:rFonts w:ascii="仿宋" w:hAnsi="仿宋" w:eastAsia="仿宋" w:cs="Times New Roman"/>
          <w:color w:val="000000"/>
          <w:sz w:val="32"/>
          <w:szCs w:val="32"/>
        </w:rPr>
      </w:pPr>
      <w:r>
        <w:rPr>
          <w:rFonts w:ascii="仿宋" w:hAnsi="仿宋" w:eastAsia="仿宋" w:cs="仿宋"/>
          <w:color w:val="000000"/>
          <w:sz w:val="32"/>
          <w:szCs w:val="32"/>
        </w:rPr>
        <w:t>(</w:t>
      </w:r>
      <w:r>
        <w:rPr>
          <w:rFonts w:hint="eastAsia" w:ascii="仿宋" w:hAnsi="仿宋" w:eastAsia="仿宋" w:cs="仿宋"/>
          <w:color w:val="000000"/>
          <w:sz w:val="32"/>
          <w:szCs w:val="32"/>
        </w:rPr>
        <w:t>五</w:t>
      </w:r>
      <w:r>
        <w:rPr>
          <w:rFonts w:ascii="仿宋" w:hAnsi="仿宋" w:eastAsia="仿宋" w:cs="仿宋"/>
          <w:color w:val="000000"/>
          <w:sz w:val="32"/>
          <w:szCs w:val="32"/>
        </w:rPr>
        <w:t>)</w:t>
      </w:r>
      <w:r>
        <w:rPr>
          <w:rFonts w:hint="eastAsia" w:ascii="仿宋" w:hAnsi="仿宋" w:eastAsia="仿宋" w:cs="仿宋"/>
          <w:color w:val="000000"/>
          <w:sz w:val="32"/>
          <w:szCs w:val="32"/>
        </w:rPr>
        <w:t>基本建设管理的目标是：确保安全、保证质量、控制工期、节约投资、保持廉洁，即质量、安全、工期、投资和廉洁“五控制”目标。</w:t>
      </w:r>
    </w:p>
    <w:p w14:paraId="17FE8A81">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第三条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基本建设程序主要为：</w:t>
      </w:r>
    </w:p>
    <w:p w14:paraId="1C449CDD">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一、有关部门提出项目建议，必要时进行可行性研究</w:t>
      </w:r>
      <w:r>
        <w:rPr>
          <w:rFonts w:ascii="仿宋" w:hAnsi="仿宋" w:eastAsia="仿宋" w:cs="仿宋"/>
          <w:color w:val="000000"/>
          <w:sz w:val="32"/>
          <w:szCs w:val="32"/>
        </w:rPr>
        <w:t>;</w:t>
      </w:r>
    </w:p>
    <w:p w14:paraId="4836F460">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二、申请立项</w:t>
      </w:r>
      <w:r>
        <w:rPr>
          <w:rFonts w:ascii="仿宋" w:hAnsi="仿宋" w:eastAsia="仿宋" w:cs="仿宋"/>
          <w:color w:val="000000"/>
          <w:sz w:val="32"/>
          <w:szCs w:val="32"/>
        </w:rPr>
        <w:t>;</w:t>
      </w:r>
    </w:p>
    <w:p w14:paraId="278323CC">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三、办理规划、用地、环评、消防和人防等行政审批手续</w:t>
      </w:r>
      <w:r>
        <w:rPr>
          <w:rFonts w:ascii="仿宋" w:hAnsi="仿宋" w:eastAsia="仿宋" w:cs="仿宋"/>
          <w:color w:val="000000"/>
          <w:sz w:val="32"/>
          <w:szCs w:val="32"/>
        </w:rPr>
        <w:t>;</w:t>
      </w:r>
    </w:p>
    <w:p w14:paraId="361D9A2C">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四、初步设计及概算审批</w:t>
      </w:r>
      <w:r>
        <w:rPr>
          <w:rFonts w:ascii="仿宋" w:hAnsi="仿宋" w:eastAsia="仿宋" w:cs="仿宋"/>
          <w:color w:val="000000"/>
          <w:sz w:val="32"/>
          <w:szCs w:val="32"/>
        </w:rPr>
        <w:t>;</w:t>
      </w:r>
    </w:p>
    <w:p w14:paraId="3F068210">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五、征地、拆迁</w:t>
      </w:r>
      <w:r>
        <w:rPr>
          <w:rFonts w:ascii="仿宋" w:hAnsi="仿宋" w:eastAsia="仿宋" w:cs="仿宋"/>
          <w:color w:val="000000"/>
          <w:sz w:val="32"/>
          <w:szCs w:val="32"/>
        </w:rPr>
        <w:t>;</w:t>
      </w:r>
    </w:p>
    <w:p w14:paraId="0E75F098">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六、进行施工招标，办理施工许可手续</w:t>
      </w:r>
      <w:r>
        <w:rPr>
          <w:rFonts w:ascii="仿宋" w:hAnsi="仿宋" w:eastAsia="仿宋" w:cs="仿宋"/>
          <w:color w:val="000000"/>
          <w:sz w:val="32"/>
          <w:szCs w:val="32"/>
        </w:rPr>
        <w:t>;</w:t>
      </w:r>
    </w:p>
    <w:p w14:paraId="6C120F6B">
      <w:pPr>
        <w:pStyle w:val="6"/>
        <w:widowControl/>
        <w:spacing w:line="52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七、开工建设</w:t>
      </w:r>
      <w:r>
        <w:rPr>
          <w:rFonts w:ascii="仿宋" w:hAnsi="仿宋" w:eastAsia="仿宋" w:cs="仿宋"/>
          <w:color w:val="000000"/>
          <w:sz w:val="32"/>
          <w:szCs w:val="32"/>
        </w:rPr>
        <w:t>;</w:t>
      </w:r>
    </w:p>
    <w:p w14:paraId="240BED47">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八、竣工验收、项目移交及造价结算。</w:t>
      </w:r>
    </w:p>
    <w:p w14:paraId="20E43054">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需到上级政府部门审批或招标的项目，依照有关规定办理。</w:t>
      </w:r>
    </w:p>
    <w:p w14:paraId="2C048BC4">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第四条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合理设置岗位，明确内部相关部门和岗位的职责权限，确保项目建议和可行性研究与项目决策、概预算编制与审核、项目实施与价款支付、竣工决算与竣工审计等不相容岗位相互分离。</w:t>
      </w:r>
      <w:r>
        <w:rPr>
          <w:rFonts w:ascii="仿宋" w:hAnsi="仿宋" w:eastAsia="仿宋" w:cs="仿宋"/>
          <w:color w:val="000000"/>
          <w:sz w:val="32"/>
          <w:szCs w:val="32"/>
        </w:rPr>
        <w:t xml:space="preserve"> </w:t>
      </w:r>
    </w:p>
    <w:p w14:paraId="0EC6CC1E">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第五条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建立与建设项目相关的议事决策机制，严禁任何个人单独决策或者擅自改变集体决策意见。决策过程及各方面意见应当形成书面文件，与相关资料一同妥善归档保管。</w:t>
      </w:r>
      <w:r>
        <w:rPr>
          <w:rFonts w:ascii="仿宋" w:hAnsi="仿宋" w:eastAsia="仿宋" w:cs="仿宋"/>
          <w:color w:val="000000"/>
          <w:sz w:val="32"/>
          <w:szCs w:val="32"/>
        </w:rPr>
        <w:t xml:space="preserve"> </w:t>
      </w:r>
    </w:p>
    <w:p w14:paraId="4E06CCCA">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第六条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建立与建设项目相关的审核机制。项目建议书、可行性研究报告、概预算、竣工决算报告等应当由单位内部的规划、技术、财会、法律等相关工作人员或者根据国家有关规定委托具有相应资质的中介机构进行审核，出具评审意见。</w:t>
      </w:r>
      <w:r>
        <w:rPr>
          <w:rFonts w:ascii="仿宋" w:hAnsi="仿宋" w:eastAsia="仿宋" w:cs="仿宋"/>
          <w:color w:val="000000"/>
          <w:sz w:val="32"/>
          <w:szCs w:val="32"/>
        </w:rPr>
        <w:t xml:space="preserve"> </w:t>
      </w:r>
    </w:p>
    <w:p w14:paraId="71B9ABD1">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第七条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依据国家有关规定组织建设项目招标工作，并接受有关部门的监督。</w:t>
      </w:r>
      <w:r>
        <w:rPr>
          <w:rFonts w:ascii="仿宋" w:hAnsi="仿宋" w:eastAsia="仿宋" w:cs="仿宋"/>
          <w:color w:val="000000"/>
          <w:sz w:val="32"/>
          <w:szCs w:val="32"/>
        </w:rPr>
        <w:t xml:space="preserve"> </w:t>
      </w:r>
    </w:p>
    <w:p w14:paraId="3D290774">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第八条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采取签订保密协议、限制接触等必要措施，确保标底编制、评标等工作在严格保密的情况下进行。</w:t>
      </w:r>
      <w:r>
        <w:rPr>
          <w:rFonts w:ascii="仿宋" w:hAnsi="仿宋" w:eastAsia="仿宋" w:cs="仿宋"/>
          <w:color w:val="000000"/>
          <w:sz w:val="32"/>
          <w:szCs w:val="32"/>
        </w:rPr>
        <w:t xml:space="preserve"> </w:t>
      </w:r>
    </w:p>
    <w:p w14:paraId="2FB8B22A">
      <w:pPr>
        <w:pStyle w:val="6"/>
        <w:widowControl/>
        <w:spacing w:line="520" w:lineRule="exact"/>
        <w:rPr>
          <w:rFonts w:ascii="仿宋" w:hAnsi="仿宋" w:eastAsia="仿宋" w:cs="Times New Roman"/>
          <w:sz w:val="32"/>
          <w:szCs w:val="32"/>
        </w:rPr>
      </w:pPr>
      <w:r>
        <w:rPr>
          <w:rFonts w:ascii="仿宋" w:hAnsi="仿宋" w:eastAsia="仿宋" w:cs="仿宋"/>
          <w:color w:val="000000"/>
          <w:sz w:val="32"/>
          <w:szCs w:val="32"/>
        </w:rPr>
        <w:t xml:space="preserve">    </w:t>
      </w:r>
      <w:r>
        <w:rPr>
          <w:rFonts w:hint="eastAsia" w:ascii="仿宋" w:hAnsi="仿宋" w:eastAsia="仿宋" w:cs="仿宋"/>
          <w:color w:val="000000"/>
          <w:sz w:val="32"/>
          <w:szCs w:val="32"/>
        </w:rPr>
        <w:t>第九条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按照审批单位下达的投资计划和预算对建设项目资金实行专款专用，严禁截留、挪用和超批复内容使用资金。</w:t>
      </w:r>
      <w:r>
        <w:rPr>
          <w:rFonts w:ascii="仿宋" w:hAnsi="仿宋" w:eastAsia="仿宋" w:cs="仿宋"/>
          <w:color w:val="000000"/>
          <w:sz w:val="32"/>
          <w:szCs w:val="32"/>
        </w:rPr>
        <w:t xml:space="preserve">  </w:t>
      </w:r>
    </w:p>
    <w:p w14:paraId="4BD3B934">
      <w:pPr>
        <w:pStyle w:val="6"/>
        <w:widowControl/>
        <w:spacing w:line="520" w:lineRule="exact"/>
        <w:ind w:firstLine="640"/>
        <w:rPr>
          <w:rFonts w:ascii="仿宋" w:hAnsi="仿宋" w:eastAsia="仿宋" w:cs="Times New Roman"/>
          <w:color w:val="000000"/>
          <w:sz w:val="32"/>
          <w:szCs w:val="32"/>
        </w:rPr>
      </w:pPr>
      <w:r>
        <w:rPr>
          <w:rFonts w:hint="eastAsia" w:ascii="仿宋" w:hAnsi="仿宋" w:eastAsia="仿宋" w:cs="仿宋"/>
          <w:color w:val="000000"/>
          <w:sz w:val="32"/>
          <w:szCs w:val="32"/>
        </w:rPr>
        <w:t>第十条</w:t>
      </w:r>
      <w:r>
        <w:rPr>
          <w:rFonts w:ascii="仿宋" w:hAnsi="仿宋" w:eastAsia="仿宋" w:cs="仿宋"/>
          <w:color w:val="000000"/>
          <w:sz w:val="32"/>
          <w:szCs w:val="32"/>
        </w:rPr>
        <w:t xml:space="preserve"> </w:t>
      </w:r>
      <w:r>
        <w:rPr>
          <w:rFonts w:hint="eastAsia" w:ascii="仿宋" w:hAnsi="仿宋" w:eastAsia="仿宋" w:cs="仿宋"/>
          <w:color w:val="000000"/>
          <w:sz w:val="32"/>
          <w:szCs w:val="32"/>
        </w:rPr>
        <w:t>建设项目竣工后，单位应当按照规定的时限及时办理竣工决算，组织竣工决算审计，并根据批复的竣工决算和有关规定办理建设项目档案和资产移交等工作。建设项目已实际投入使用但超时限未办理竣工决算的，单位应当根据对建设项目的实际投资暂估入账，转作相关资产管理。</w:t>
      </w:r>
    </w:p>
    <w:p w14:paraId="60E53244">
      <w:pPr>
        <w:ind w:firstLine="924" w:firstLineChars="300"/>
        <w:rPr>
          <w:rFonts w:ascii="仿宋_GB2312" w:hAnsi="仿宋_GB2312" w:cs="仿宋_GB2312"/>
          <w:szCs w:val="32"/>
          <w:lang w:bidi="ar"/>
        </w:rPr>
      </w:pPr>
      <w:r>
        <w:rPr>
          <w:rFonts w:hint="eastAsia" w:ascii="仿宋_GB2312" w:hAnsi="仿宋_GB2312" w:cs="仿宋_GB2312"/>
          <w:szCs w:val="32"/>
          <w:lang w:bidi="ar"/>
        </w:rPr>
        <w:t>包括项目准备、实施、监管等情况。</w:t>
      </w:r>
    </w:p>
    <w:p w14:paraId="68E0E5D1">
      <w:pPr>
        <w:numPr>
          <w:ilvl w:val="0"/>
          <w:numId w:val="5"/>
        </w:numPr>
        <w:ind w:firstLine="924" w:firstLineChars="300"/>
        <w:rPr>
          <w:rFonts w:hint="eastAsia" w:ascii="仿宋_GB2312" w:hAnsi="仿宋_GB2312" w:cs="仿宋_GB2312"/>
          <w:szCs w:val="32"/>
          <w:lang w:bidi="ar"/>
        </w:rPr>
      </w:pPr>
      <w:bookmarkStart w:id="23" w:name="_Toc3788"/>
      <w:r>
        <w:rPr>
          <w:rFonts w:hint="eastAsia" w:ascii="仿宋_GB2312" w:hAnsi="仿宋_GB2312" w:cs="仿宋_GB2312"/>
          <w:szCs w:val="32"/>
          <w:lang w:bidi="ar"/>
        </w:rPr>
        <w:t>资产管理。</w:t>
      </w:r>
      <w:bookmarkEnd w:id="23"/>
    </w:p>
    <w:p w14:paraId="56B80348">
      <w:pPr>
        <w:numPr>
          <w:ilvl w:val="0"/>
          <w:numId w:val="0"/>
        </w:numPr>
        <w:rPr>
          <w:rFonts w:hint="eastAsia" w:ascii="仿宋_GB2312" w:hAnsi="仿宋_GB2312" w:eastAsia="仿宋" w:cs="仿宋_GB2312"/>
          <w:szCs w:val="32"/>
          <w:lang w:val="en-US" w:eastAsia="zh-CN" w:bidi="ar"/>
        </w:rPr>
      </w:pPr>
      <w:r>
        <w:rPr>
          <w:rFonts w:hint="eastAsia" w:ascii="仿宋_GB2312" w:hAnsi="仿宋_GB2312" w:cs="仿宋_GB2312"/>
          <w:szCs w:val="32"/>
          <w:lang w:val="en-US" w:eastAsia="zh-CN" w:bidi="ar"/>
        </w:rPr>
        <w:t xml:space="preserve">    资产管理要求按照</w:t>
      </w:r>
      <w:r>
        <w:rPr>
          <w:rFonts w:hint="eastAsia" w:ascii="仿宋" w:hAnsi="仿宋" w:eastAsia="仿宋" w:cs="仿宋"/>
          <w:color w:val="auto"/>
          <w:sz w:val="30"/>
          <w:szCs w:val="30"/>
        </w:rPr>
        <w:t>《行政单位国有资产管理暂行办法》（财政部令第35号）、《财政部关于修改&lt;事业单位国有资产管理暂行办法&gt;的决定》（财政部令第100号）和《行政事业单位国有资产报告制度》</w:t>
      </w:r>
      <w:r>
        <w:rPr>
          <w:rFonts w:hint="eastAsia" w:ascii="仿宋" w:hAnsi="仿宋" w:eastAsia="仿宋" w:cs="仿宋"/>
          <w:color w:val="auto"/>
          <w:sz w:val="30"/>
          <w:szCs w:val="30"/>
          <w:lang w:val="en-US" w:eastAsia="zh-CN"/>
        </w:rPr>
        <w:t>以及我局制订的内部管理制度《阳西县城市管理和综合执法局资产管理制度》</w:t>
      </w:r>
      <w:r>
        <w:rPr>
          <w:rFonts w:hint="eastAsia" w:ascii="仿宋" w:hAnsi="仿宋" w:eastAsia="仿宋" w:cs="仿宋"/>
          <w:color w:val="auto"/>
          <w:sz w:val="30"/>
          <w:szCs w:val="30"/>
        </w:rPr>
        <w:t>等有关规定</w:t>
      </w:r>
      <w:r>
        <w:rPr>
          <w:rFonts w:hint="eastAsia" w:ascii="仿宋" w:hAnsi="仿宋" w:eastAsia="仿宋" w:cs="仿宋"/>
          <w:color w:val="auto"/>
          <w:sz w:val="30"/>
          <w:szCs w:val="30"/>
          <w:lang w:val="en-US" w:eastAsia="zh-CN"/>
        </w:rPr>
        <w:t>执行。</w:t>
      </w:r>
    </w:p>
    <w:p w14:paraId="58DF766F">
      <w:pPr>
        <w:ind w:firstLine="616" w:firstLineChars="200"/>
        <w:rPr>
          <w:b/>
        </w:rPr>
      </w:pPr>
      <w:bookmarkStart w:id="24" w:name="_Toc20443_WPSOffice_Level3"/>
      <w:bookmarkStart w:id="25" w:name="_Toc14900"/>
      <w:bookmarkStart w:id="26" w:name="_Toc15901_WPSOffice_Level2"/>
      <w:bookmarkStart w:id="27" w:name="_Toc26860"/>
      <w:r>
        <w:rPr>
          <w:rFonts w:hint="eastAsia"/>
          <w:b/>
        </w:rPr>
        <w:t>（三）</w:t>
      </w:r>
      <w:bookmarkEnd w:id="24"/>
      <w:bookmarkEnd w:id="25"/>
      <w:bookmarkEnd w:id="26"/>
      <w:bookmarkEnd w:id="27"/>
      <w:r>
        <w:rPr>
          <w:rFonts w:hint="eastAsia"/>
          <w:b/>
        </w:rPr>
        <w:t>预算使用效益。</w:t>
      </w:r>
    </w:p>
    <w:p w14:paraId="380635FC">
      <w:pPr>
        <w:ind w:firstLine="924" w:firstLineChars="300"/>
        <w:rPr>
          <w:rFonts w:hint="eastAsia" w:ascii="仿宋_GB2312" w:hAnsi="仿宋_GB2312" w:cs="仿宋_GB2312"/>
          <w:szCs w:val="32"/>
          <w:lang w:bidi="ar"/>
        </w:rPr>
      </w:pPr>
      <w:bookmarkStart w:id="28" w:name="_Toc23861"/>
      <w:r>
        <w:rPr>
          <w:rFonts w:hint="eastAsia" w:ascii="仿宋_GB2312" w:hAnsi="仿宋_GB2312" w:cs="仿宋_GB2312"/>
          <w:szCs w:val="32"/>
          <w:lang w:bidi="ar"/>
        </w:rPr>
        <w:t>1.经济性。</w:t>
      </w:r>
      <w:bookmarkEnd w:id="28"/>
    </w:p>
    <w:p w14:paraId="1C6ABCC8">
      <w:pPr>
        <w:ind w:firstLine="924" w:firstLineChars="300"/>
        <w:rPr>
          <w:rFonts w:hint="eastAsia" w:ascii="仿宋_GB2312" w:hAnsi="仿宋_GB2312" w:eastAsia="仿宋_GB2312" w:cs="仿宋_GB2312"/>
          <w:color w:val="auto"/>
          <w:szCs w:val="32"/>
          <w:lang w:eastAsia="zh-CN" w:bidi="ar"/>
        </w:rPr>
      </w:pPr>
      <w:r>
        <w:rPr>
          <w:rFonts w:hint="eastAsia" w:ascii="仿宋_GB2312" w:hAnsi="仿宋_GB2312" w:cs="仿宋_GB2312"/>
          <w:szCs w:val="32"/>
          <w:lang w:val="en-US" w:eastAsia="zh-CN" w:bidi="ar"/>
        </w:rPr>
        <w:t>（1）</w:t>
      </w:r>
      <w:r>
        <w:rPr>
          <w:rFonts w:hint="eastAsia" w:ascii="仿宋_GB2312" w:hAnsi="仿宋_GB2312" w:cs="仿宋_GB2312"/>
          <w:color w:val="auto"/>
          <w:szCs w:val="32"/>
          <w:lang w:val="en-US" w:eastAsia="zh-CN" w:bidi="ar"/>
        </w:rPr>
        <w:t>2024年度三公经费预算安排61.7万元，2024年度三公经费实际支出数55.57万元；</w:t>
      </w:r>
      <w:r>
        <w:rPr>
          <w:rFonts w:hint="eastAsia" w:ascii="仿宋_GB2312" w:hAnsi="仿宋_GB2312" w:cs="仿宋_GB2312"/>
          <w:color w:val="auto"/>
          <w:szCs w:val="32"/>
          <w:lang w:bidi="ar"/>
        </w:rPr>
        <w:t>“三公”经费实际支出数</w:t>
      </w:r>
      <w:r>
        <w:rPr>
          <w:rFonts w:hint="eastAsia" w:ascii="仿宋_GB2312" w:hAnsi="仿宋_GB2312" w:cs="仿宋_GB2312"/>
          <w:color w:val="auto"/>
          <w:szCs w:val="32"/>
          <w:lang w:val="en-US" w:eastAsia="zh-CN" w:bidi="ar"/>
        </w:rPr>
        <w:t>小于</w:t>
      </w:r>
      <w:r>
        <w:rPr>
          <w:rFonts w:hint="eastAsia" w:ascii="仿宋_GB2312" w:hAnsi="仿宋_GB2312" w:cs="仿宋_GB2312"/>
          <w:color w:val="auto"/>
          <w:szCs w:val="32"/>
          <w:lang w:bidi="ar"/>
        </w:rPr>
        <w:t>预算安排的三公经费数</w:t>
      </w:r>
      <w:r>
        <w:rPr>
          <w:rFonts w:hint="eastAsia" w:ascii="仿宋_GB2312" w:hAnsi="仿宋_GB2312" w:cs="仿宋_GB2312"/>
          <w:color w:val="auto"/>
          <w:szCs w:val="32"/>
          <w:lang w:eastAsia="zh-CN" w:bidi="ar"/>
        </w:rPr>
        <w:t>。</w:t>
      </w:r>
    </w:p>
    <w:p w14:paraId="0AEBAB0B">
      <w:pPr>
        <w:ind w:firstLine="924" w:firstLineChars="300"/>
        <w:rPr>
          <w:rFonts w:ascii="仿宋_GB2312" w:hAnsi="仿宋_GB2312" w:cs="仿宋_GB2312"/>
          <w:color w:val="auto"/>
          <w:szCs w:val="32"/>
          <w:lang w:bidi="ar"/>
        </w:rPr>
      </w:pPr>
      <w:r>
        <w:rPr>
          <w:rFonts w:hint="eastAsia" w:ascii="仿宋_GB2312" w:hAnsi="仿宋_GB2312" w:cs="仿宋_GB2312"/>
          <w:color w:val="auto"/>
          <w:szCs w:val="32"/>
          <w:lang w:eastAsia="zh-CN" w:bidi="ar"/>
        </w:rPr>
        <w:t>（</w:t>
      </w:r>
      <w:r>
        <w:rPr>
          <w:rFonts w:hint="eastAsia" w:ascii="仿宋_GB2312" w:hAnsi="仿宋_GB2312" w:cs="仿宋_GB2312"/>
          <w:color w:val="auto"/>
          <w:szCs w:val="32"/>
          <w:lang w:val="en-US" w:eastAsia="zh-CN" w:bidi="ar"/>
        </w:rPr>
        <w:t>2</w:t>
      </w:r>
      <w:r>
        <w:rPr>
          <w:rFonts w:hint="eastAsia" w:ascii="仿宋_GB2312" w:hAnsi="仿宋_GB2312" w:cs="仿宋_GB2312"/>
          <w:color w:val="auto"/>
          <w:szCs w:val="32"/>
          <w:lang w:eastAsia="zh-CN" w:bidi="ar"/>
        </w:rPr>
        <w:t>）</w:t>
      </w:r>
      <w:r>
        <w:rPr>
          <w:rFonts w:hint="eastAsia" w:ascii="仿宋_GB2312" w:hAnsi="仿宋_GB2312" w:cs="仿宋_GB2312"/>
          <w:color w:val="auto"/>
          <w:szCs w:val="32"/>
          <w:lang w:val="en-US" w:eastAsia="zh-CN" w:bidi="ar"/>
        </w:rPr>
        <w:t>2024年度日常公用经费预算数189.96万元，2024年度日常公用经费实际支出178.76万元，预算</w:t>
      </w:r>
      <w:r>
        <w:rPr>
          <w:rFonts w:hint="eastAsia" w:ascii="仿宋_GB2312" w:hAnsi="仿宋_GB2312" w:cs="仿宋_GB2312"/>
          <w:color w:val="auto"/>
          <w:szCs w:val="32"/>
          <w:lang w:bidi="ar"/>
        </w:rPr>
        <w:t>日常公用经费决算数</w:t>
      </w:r>
      <w:r>
        <w:rPr>
          <w:rFonts w:hint="eastAsia" w:ascii="仿宋_GB2312" w:hAnsi="仿宋_GB2312" w:cs="仿宋_GB2312"/>
          <w:color w:val="auto"/>
          <w:szCs w:val="32"/>
          <w:lang w:val="en-US" w:eastAsia="zh-CN" w:bidi="ar"/>
        </w:rPr>
        <w:t>小于</w:t>
      </w:r>
      <w:r>
        <w:rPr>
          <w:rFonts w:hint="eastAsia" w:ascii="仿宋_GB2312" w:hAnsi="仿宋_GB2312" w:cs="仿宋_GB2312"/>
          <w:color w:val="auto"/>
          <w:szCs w:val="32"/>
          <w:lang w:bidi="ar"/>
        </w:rPr>
        <w:t>日常公用经费</w:t>
      </w:r>
      <w:r>
        <w:rPr>
          <w:rFonts w:hint="eastAsia" w:ascii="仿宋_GB2312" w:hAnsi="仿宋_GB2312" w:cs="仿宋_GB2312"/>
          <w:color w:val="auto"/>
          <w:szCs w:val="32"/>
          <w:lang w:val="en-US" w:eastAsia="zh-CN" w:bidi="ar"/>
        </w:rPr>
        <w:t>年初</w:t>
      </w:r>
      <w:r>
        <w:rPr>
          <w:rFonts w:hint="eastAsia" w:ascii="仿宋_GB2312" w:hAnsi="仿宋_GB2312" w:cs="仿宋_GB2312"/>
          <w:color w:val="auto"/>
          <w:szCs w:val="32"/>
          <w:lang w:bidi="ar"/>
        </w:rPr>
        <w:t>预算数。</w:t>
      </w:r>
    </w:p>
    <w:p w14:paraId="159A15C0">
      <w:pPr>
        <w:numPr>
          <w:ilvl w:val="0"/>
          <w:numId w:val="6"/>
        </w:numPr>
        <w:ind w:firstLine="924" w:firstLineChars="300"/>
        <w:rPr>
          <w:rFonts w:hint="eastAsia" w:ascii="仿宋_GB2312" w:hAnsi="仿宋_GB2312" w:cs="仿宋_GB2312"/>
          <w:szCs w:val="32"/>
          <w:lang w:bidi="ar"/>
        </w:rPr>
      </w:pPr>
      <w:bookmarkStart w:id="29" w:name="_Toc19171"/>
      <w:r>
        <w:rPr>
          <w:rFonts w:hint="eastAsia" w:ascii="仿宋_GB2312" w:hAnsi="仿宋_GB2312" w:cs="仿宋_GB2312"/>
          <w:szCs w:val="32"/>
          <w:lang w:bidi="ar"/>
        </w:rPr>
        <w:t>效率性。</w:t>
      </w:r>
      <w:bookmarkEnd w:id="29"/>
    </w:p>
    <w:p w14:paraId="1287F842">
      <w:pPr>
        <w:numPr>
          <w:ilvl w:val="0"/>
          <w:numId w:val="7"/>
        </w:numPr>
        <w:ind w:left="615" w:leftChars="0" w:firstLine="0" w:firstLineChars="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项目完成及时性：所有部门预算安排的项目均按计划</w:t>
      </w:r>
    </w:p>
    <w:p w14:paraId="404AD3D2">
      <w:pPr>
        <w:numPr>
          <w:ilvl w:val="0"/>
          <w:numId w:val="0"/>
        </w:numPr>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时间完成；</w:t>
      </w:r>
    </w:p>
    <w:p w14:paraId="63C367EA">
      <w:pPr>
        <w:numPr>
          <w:ilvl w:val="0"/>
          <w:numId w:val="7"/>
        </w:numPr>
        <w:ind w:left="615" w:leftChars="0" w:firstLine="0" w:firstLineChars="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绩效目标完成率：计划当年完成</w:t>
      </w:r>
      <w:r>
        <w:rPr>
          <w:rFonts w:hint="default" w:ascii="仿宋_GB2312" w:hAnsi="仿宋_GB2312" w:cs="仿宋_GB2312"/>
          <w:szCs w:val="32"/>
          <w:lang w:val="en-US" w:eastAsia="zh-CN" w:bidi="ar"/>
        </w:rPr>
        <w:t>绩效目标</w:t>
      </w:r>
      <w:r>
        <w:rPr>
          <w:rFonts w:hint="eastAsia" w:ascii="仿宋_GB2312" w:hAnsi="仿宋_GB2312" w:cs="仿宋_GB2312"/>
          <w:szCs w:val="32"/>
          <w:lang w:val="en-US" w:eastAsia="zh-CN" w:bidi="ar"/>
        </w:rPr>
        <w:t>数13个，当</w:t>
      </w:r>
    </w:p>
    <w:p w14:paraId="42EE7DA9">
      <w:pPr>
        <w:numPr>
          <w:ilvl w:val="0"/>
          <w:numId w:val="0"/>
        </w:numPr>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年完成13个，完成率100%</w:t>
      </w:r>
      <w:r>
        <w:rPr>
          <w:rFonts w:hint="default" w:ascii="仿宋_GB2312" w:hAnsi="仿宋_GB2312" w:cs="仿宋_GB2312"/>
          <w:szCs w:val="32"/>
          <w:lang w:val="en-US" w:eastAsia="zh-CN" w:bidi="ar"/>
        </w:rPr>
        <w:t>。</w:t>
      </w:r>
    </w:p>
    <w:p w14:paraId="48E950AA">
      <w:pPr>
        <w:numPr>
          <w:ilvl w:val="0"/>
          <w:numId w:val="7"/>
        </w:numPr>
        <w:ind w:left="615" w:leftChars="0" w:firstLine="0" w:firstLineChars="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重点任务完成情况：列入重点项目13个，</w:t>
      </w:r>
      <w:r>
        <w:rPr>
          <w:rFonts w:hint="default" w:ascii="仿宋_GB2312" w:hAnsi="仿宋_GB2312" w:cs="仿宋_GB2312"/>
          <w:szCs w:val="32"/>
          <w:lang w:val="en-US" w:eastAsia="zh-CN" w:bidi="ar"/>
        </w:rPr>
        <w:t>全部按期保</w:t>
      </w:r>
    </w:p>
    <w:p w14:paraId="6F85EF27">
      <w:pPr>
        <w:numPr>
          <w:ilvl w:val="0"/>
          <w:numId w:val="0"/>
        </w:numPr>
        <w:rPr>
          <w:rFonts w:hint="default" w:ascii="仿宋_GB2312" w:hAnsi="仿宋_GB2312" w:cs="仿宋_GB2312"/>
          <w:szCs w:val="32"/>
          <w:lang w:val="en-US" w:eastAsia="zh-CN" w:bidi="ar"/>
        </w:rPr>
      </w:pPr>
      <w:r>
        <w:rPr>
          <w:rFonts w:hint="default" w:ascii="仿宋_GB2312" w:hAnsi="仿宋_GB2312" w:cs="仿宋_GB2312"/>
          <w:szCs w:val="32"/>
          <w:lang w:val="en-US" w:eastAsia="zh-CN" w:bidi="ar"/>
        </w:rPr>
        <w:t>质保量完成</w:t>
      </w:r>
      <w:r>
        <w:rPr>
          <w:rFonts w:hint="eastAsia" w:ascii="仿宋_GB2312" w:hAnsi="仿宋_GB2312" w:cs="仿宋_GB2312"/>
          <w:szCs w:val="32"/>
          <w:lang w:val="en-US" w:eastAsia="zh-CN" w:bidi="ar"/>
        </w:rPr>
        <w:t>。</w:t>
      </w:r>
    </w:p>
    <w:p w14:paraId="3A89027B">
      <w:pPr>
        <w:numPr>
          <w:ilvl w:val="0"/>
          <w:numId w:val="6"/>
        </w:numPr>
        <w:ind w:left="0" w:leftChars="0" w:firstLine="924" w:firstLineChars="300"/>
        <w:rPr>
          <w:rFonts w:hint="eastAsia" w:ascii="仿宋_GB2312" w:hAnsi="仿宋_GB2312" w:cs="仿宋_GB2312"/>
          <w:szCs w:val="32"/>
          <w:lang w:bidi="ar"/>
        </w:rPr>
      </w:pPr>
      <w:bookmarkStart w:id="30" w:name="_Toc15830"/>
      <w:r>
        <w:rPr>
          <w:rFonts w:hint="eastAsia" w:ascii="仿宋_GB2312" w:hAnsi="仿宋_GB2312" w:cs="仿宋_GB2312"/>
          <w:szCs w:val="32"/>
          <w:lang w:bidi="ar"/>
        </w:rPr>
        <w:t>效果性。</w:t>
      </w:r>
      <w:bookmarkEnd w:id="30"/>
      <w:bookmarkStart w:id="31" w:name="_Toc18975"/>
    </w:p>
    <w:p w14:paraId="61024917">
      <w:pPr>
        <w:numPr>
          <w:ilvl w:val="0"/>
          <w:numId w:val="0"/>
        </w:numPr>
        <w:ind w:firstLine="616" w:firstLine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部门履职情况：根据县委县政府工作布置和我局职责安排，2024年度我局在以下几方面工作较为突出，其中：</w:t>
      </w:r>
    </w:p>
    <w:p w14:paraId="7ACDACE3">
      <w:pPr>
        <w:keepNext w:val="0"/>
        <w:keepLines w:val="0"/>
        <w:pageBreakBefore w:val="0"/>
        <w:widowControl w:val="0"/>
        <w:numPr>
          <w:ilvl w:val="0"/>
          <w:numId w:val="0"/>
        </w:numPr>
        <w:kinsoku/>
        <w:wordWrap/>
        <w:overflowPunct/>
        <w:topLinePunct w:val="0"/>
        <w:autoSpaceDE/>
        <w:autoSpaceDN/>
        <w:bidi w:val="0"/>
        <w:adjustRightInd/>
        <w:snapToGrid/>
        <w:ind w:firstLine="616" w:firstLineChars="200"/>
        <w:textAlignment w:val="auto"/>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（1）加强队伍建设（理论建设、组织建设、党建活动、责任担当）；</w:t>
      </w:r>
    </w:p>
    <w:p w14:paraId="5D001D26">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 xml:space="preserve">（2）改善县城人居环境（开展“六乱”整治，净化环境）；  </w:t>
      </w:r>
    </w:p>
    <w:p w14:paraId="18AE9E45">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（3）不断完善市政设施，提升公共服务水平；</w:t>
      </w:r>
    </w:p>
    <w:p w14:paraId="7C6D0282">
      <w:pPr>
        <w:numPr>
          <w:ilvl w:val="0"/>
          <w:numId w:val="0"/>
        </w:numPr>
        <w:ind w:leftChars="200"/>
        <w:rPr>
          <w:rFonts w:hint="eastAsia" w:ascii="仿宋_GB2312" w:hAnsi="仿宋_GB2312" w:cs="仿宋_GB2312"/>
          <w:szCs w:val="32"/>
          <w:lang w:val="en-US" w:eastAsia="zh-CN" w:bidi="ar"/>
        </w:rPr>
      </w:pPr>
      <w:r>
        <w:rPr>
          <w:rFonts w:hint="eastAsia" w:ascii="仿宋_GB2312" w:hAnsi="仿宋_GB2312" w:cs="仿宋_GB2312"/>
          <w:szCs w:val="32"/>
          <w:lang w:val="en-US" w:eastAsia="zh-CN" w:bidi="ar"/>
        </w:rPr>
        <w:t>（4）深化为民办实事，解决群众实际问题；</w:t>
      </w:r>
    </w:p>
    <w:p w14:paraId="14B60EC0">
      <w:pPr>
        <w:numPr>
          <w:ilvl w:val="0"/>
          <w:numId w:val="0"/>
        </w:numPr>
        <w:ind w:leftChars="200"/>
        <w:rPr>
          <w:rFonts w:hint="default" w:ascii="仿宋_GB2312" w:hAnsi="仿宋_GB2312" w:cs="仿宋_GB2312"/>
          <w:szCs w:val="32"/>
          <w:lang w:val="en-US" w:eastAsia="zh-CN" w:bidi="ar"/>
        </w:rPr>
      </w:pPr>
      <w:r>
        <w:rPr>
          <w:rFonts w:hint="eastAsia" w:ascii="仿宋_GB2312" w:hAnsi="仿宋_GB2312" w:cs="仿宋_GB2312"/>
          <w:szCs w:val="32"/>
          <w:lang w:val="en-US" w:eastAsia="zh-CN" w:bidi="ar"/>
        </w:rPr>
        <w:t>（5）全力抓好安全生产，严防安全事故发生。</w:t>
      </w:r>
    </w:p>
    <w:p w14:paraId="71308340">
      <w:pPr>
        <w:numPr>
          <w:ilvl w:val="0"/>
          <w:numId w:val="6"/>
        </w:numPr>
        <w:ind w:left="0" w:leftChars="0" w:firstLine="924" w:firstLineChars="300"/>
        <w:rPr>
          <w:rFonts w:hint="eastAsia" w:ascii="仿宋_GB2312" w:hAnsi="仿宋_GB2312" w:cs="仿宋_GB2312"/>
          <w:szCs w:val="32"/>
          <w:lang w:bidi="ar"/>
        </w:rPr>
      </w:pPr>
      <w:r>
        <w:rPr>
          <w:rFonts w:hint="eastAsia" w:ascii="仿宋_GB2312" w:hAnsi="仿宋_GB2312" w:cs="仿宋_GB2312"/>
          <w:szCs w:val="32"/>
          <w:lang w:bidi="ar"/>
        </w:rPr>
        <w:t>公平性。</w:t>
      </w:r>
    </w:p>
    <w:p w14:paraId="3CA9DD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Cs w:val="32"/>
          <w:lang w:val="en-US" w:eastAsia="zh-CN" w:bidi="ar"/>
        </w:rPr>
        <w:t>（1）</w:t>
      </w:r>
      <w:r>
        <w:rPr>
          <w:rFonts w:hint="eastAsia" w:ascii="仿宋_GB2312" w:hAnsi="仿宋_GB2312" w:eastAsia="仿宋_GB2312" w:cs="仿宋_GB2312"/>
          <w:color w:val="auto"/>
          <w:szCs w:val="32"/>
          <w:lang w:val="en-US" w:eastAsia="zh-CN" w:bidi="ar"/>
        </w:rPr>
        <w:t>群众信访办理情况：</w:t>
      </w:r>
      <w:r>
        <w:rPr>
          <w:rFonts w:hint="eastAsia" w:ascii="仿宋_GB2312" w:hAnsi="仿宋_GB2312" w:eastAsia="仿宋_GB2312" w:cs="仿宋_GB2312"/>
          <w:color w:val="auto"/>
          <w:sz w:val="32"/>
          <w:szCs w:val="32"/>
          <w:lang w:val="en-US" w:eastAsia="zh-CN"/>
        </w:rPr>
        <w:t>城市管理工作与群众生活息息相关，在日常工作中接到群众反映与城市管理方面的热点难点问题较多，我局十分重视做好信访调处工作，设立了12319投诉热线电话，专门处理群众信访及电话投诉工作。今年以来，我局共处理网络问政信件35件，处理12345电话投诉平台转来投诉件2062件，，广东政府网站集约化平台37件，转办信访59件、省一体化信访系统15件、来信来访14件，办结率100%</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。确保人民群众问询有答复、诉求有回应</w:t>
      </w:r>
      <w:r>
        <w:rPr>
          <w:rFonts w:hint="eastAsia" w:ascii="仿宋_GB2312" w:hAnsi="仿宋_GB2312" w:eastAsia="仿宋_GB2312" w:cs="仿宋_GB2312"/>
          <w:color w:val="auto"/>
          <w:sz w:val="32"/>
          <w:szCs w:val="32"/>
          <w:lang w:val="en-US" w:eastAsia="zh-CN"/>
        </w:rPr>
        <w:t>，真正做到“想民之所想，急民之所急”，让矛盾化解在萌芽状态，对暂时未能解决的问题诚恳向群众说明原因，取得群众对我们工作的理解，化解群众矛盾。</w:t>
      </w:r>
    </w:p>
    <w:p w14:paraId="0C616060">
      <w:pPr>
        <w:ind w:firstLine="924" w:firstLineChars="300"/>
        <w:rPr>
          <w:rFonts w:hint="eastAsia" w:ascii="仿宋_GB2312" w:hAnsi="仿宋_GB2312" w:eastAsia="仿宋_GB2312" w:cs="仿宋_GB2312"/>
          <w:szCs w:val="32"/>
          <w:lang w:val="en-US" w:eastAsia="zh-CN" w:bidi="ar"/>
        </w:rPr>
      </w:pPr>
      <w:r>
        <w:rPr>
          <w:rFonts w:hint="eastAsia" w:ascii="仿宋_GB2312" w:hAnsi="仿宋_GB2312" w:eastAsia="仿宋_GB2312" w:cs="仿宋_GB2312"/>
          <w:szCs w:val="32"/>
          <w:lang w:val="en-US" w:eastAsia="zh-CN" w:bidi="ar"/>
        </w:rPr>
        <w:t>（2）公众或服务对象满意度：城管执法面对全县人民群众，涉及公众利益，“两违”、“六乱”现象长期发生，想要做到群众100%满意极为困难。因此，自评得分</w:t>
      </w:r>
      <w:r>
        <w:rPr>
          <w:rFonts w:hint="eastAsia" w:ascii="仿宋_GB2312" w:hAnsi="仿宋_GB2312" w:cs="仿宋_GB2312"/>
          <w:szCs w:val="32"/>
          <w:lang w:val="en-US" w:eastAsia="zh-CN" w:bidi="ar"/>
        </w:rPr>
        <w:t>100</w:t>
      </w:r>
      <w:r>
        <w:rPr>
          <w:rFonts w:hint="eastAsia" w:ascii="仿宋_GB2312" w:hAnsi="仿宋_GB2312" w:eastAsia="仿宋_GB2312" w:cs="仿宋_GB2312"/>
          <w:szCs w:val="32"/>
          <w:lang w:val="en-US" w:eastAsia="zh-CN" w:bidi="ar"/>
        </w:rPr>
        <w:t>分。</w:t>
      </w:r>
    </w:p>
    <w:p w14:paraId="4F04A8C6">
      <w:pPr>
        <w:ind w:firstLine="616" w:firstLineChars="200"/>
        <w:rPr>
          <w:rFonts w:hint="eastAsia" w:ascii="仿宋_GB2312" w:hAnsi="仿宋_GB2312" w:eastAsia="仿宋_GB2312" w:cs="仿宋_GB2312"/>
          <w:b/>
          <w:bCs/>
        </w:rPr>
      </w:pPr>
      <w:r>
        <w:rPr>
          <w:rFonts w:hint="eastAsia" w:ascii="仿宋_GB2312" w:hAnsi="仿宋_GB2312" w:eastAsia="仿宋_GB2312" w:cs="仿宋_GB2312"/>
          <w:b/>
          <w:bCs/>
        </w:rPr>
        <w:t>四、存在的问题、原因分析及改进措施</w:t>
      </w:r>
    </w:p>
    <w:p w14:paraId="778C9BC9">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sz w:val="32"/>
          <w:szCs w:val="32"/>
          <w:lang w:val="en-US" w:eastAsia="zh-CN"/>
        </w:rPr>
        <w:t>（一）存在问题及原因：</w:t>
      </w:r>
    </w:p>
    <w:p w14:paraId="58AC955D">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城管执法人员工资福利低，影响工作积极性及人员稳定，从2018年8月份经政府批准招收城管辅助执法人员20名，到现在有9人离职，工资福利每人3230元每月包干使用，扣除社会保障缴费不足2000元，在工资低，工作任务重，长期加班情况下，很难保证队伍工作积极性及稳定性。</w:t>
      </w:r>
    </w:p>
    <w:p w14:paraId="70662AF3">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市政公共设施管理人员严重不足，县城路灯管理范围不断扩大，人员还是早十几年前那么多，只有8人，并且需要负责巡查及维修。另外县城绿化管理人员只有3人，县城不断扩大，很难管理到位。</w:t>
      </w:r>
    </w:p>
    <w:p w14:paraId="5992C7EC">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市政维护经费不足，影响我局市政公共设施管理；</w:t>
      </w:r>
    </w:p>
    <w:p w14:paraId="57B7D3A0">
      <w:pPr>
        <w:numPr>
          <w:ilvl w:val="0"/>
          <w:numId w:val="8"/>
        </w:numPr>
        <w:ind w:left="-2" w:leftChars="0" w:firstLine="61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城管执法车辆严重不足，影响我局城管执法工作。</w:t>
      </w:r>
    </w:p>
    <w:p w14:paraId="00294C6F">
      <w:pPr>
        <w:numPr>
          <w:ilvl w:val="0"/>
          <w:numId w:val="9"/>
        </w:numPr>
        <w:ind w:left="38" w:leftChars="0" w:firstLine="576"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改进措施：</w:t>
      </w:r>
    </w:p>
    <w:p w14:paraId="35A12228">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向政府申请增加城管执法人员工资福利，保证城管执法人员长期稳定，提高城管执法人员工作积极性。</w:t>
      </w:r>
    </w:p>
    <w:p w14:paraId="3CBABDC5">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向政府申请同意我局属下市政中心增加市政公共设施管理人员，保证维修及时、管理到位。</w:t>
      </w:r>
    </w:p>
    <w:p w14:paraId="6379C498">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向政府申请增加预算内市政公共设施管理经费的投入，保证道路交通安全、排水畅通、绿化美化、路灯亮化，公园干净、整洁。</w:t>
      </w:r>
    </w:p>
    <w:p w14:paraId="4F92882C">
      <w:pPr>
        <w:numPr>
          <w:ilvl w:val="0"/>
          <w:numId w:val="10"/>
        </w:numPr>
        <w:ind w:firstLine="616"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向有关职能部门申请批准，配置足额执法车辆，保证执法工作的顺利开展。</w:t>
      </w:r>
    </w:p>
    <w:p w14:paraId="00D9FE54">
      <w:pPr>
        <w:numPr>
          <w:ilvl w:val="0"/>
          <w:numId w:val="11"/>
        </w:numPr>
        <w:ind w:left="614" w:left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其他需要说明的情况</w:t>
      </w:r>
      <w:bookmarkEnd w:id="31"/>
    </w:p>
    <w:p w14:paraId="250BCF13">
      <w:pPr>
        <w:pStyle w:val="2"/>
        <w:numPr>
          <w:ilvl w:val="0"/>
          <w:numId w:val="0"/>
        </w:numPr>
        <w:rPr>
          <w:rFonts w:hint="default"/>
          <w:sz w:val="32"/>
          <w:szCs w:val="32"/>
          <w:lang w:val="en-US" w:eastAsia="zh-CN"/>
        </w:rPr>
      </w:pPr>
      <w:r>
        <w:rPr>
          <w:rFonts w:hint="eastAsia"/>
          <w:sz w:val="32"/>
          <w:szCs w:val="32"/>
          <w:lang w:val="en-US" w:eastAsia="zh-CN"/>
        </w:rPr>
        <w:t xml:space="preserve">    无。</w:t>
      </w:r>
    </w:p>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4D8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E8D8F"/>
    <w:multiLevelType w:val="singleLevel"/>
    <w:tmpl w:val="90CE8D8F"/>
    <w:lvl w:ilvl="0" w:tentative="0">
      <w:start w:val="1"/>
      <w:numFmt w:val="decimal"/>
      <w:suff w:val="nothing"/>
      <w:lvlText w:val="%1、"/>
      <w:lvlJc w:val="left"/>
      <w:pPr>
        <w:ind w:left="-2"/>
      </w:pPr>
    </w:lvl>
  </w:abstractNum>
  <w:abstractNum w:abstractNumId="1">
    <w:nsid w:val="93F702AD"/>
    <w:multiLevelType w:val="singleLevel"/>
    <w:tmpl w:val="93F702AD"/>
    <w:lvl w:ilvl="0" w:tentative="0">
      <w:start w:val="2"/>
      <w:numFmt w:val="decimal"/>
      <w:suff w:val="nothing"/>
      <w:lvlText w:val="（%1）"/>
      <w:lvlJc w:val="left"/>
    </w:lvl>
  </w:abstractNum>
  <w:abstractNum w:abstractNumId="2">
    <w:nsid w:val="98EC527D"/>
    <w:multiLevelType w:val="singleLevel"/>
    <w:tmpl w:val="98EC527D"/>
    <w:lvl w:ilvl="0" w:tentative="0">
      <w:start w:val="5"/>
      <w:numFmt w:val="chineseCounting"/>
      <w:suff w:val="nothing"/>
      <w:lvlText w:val="%1、"/>
      <w:lvlJc w:val="left"/>
      <w:rPr>
        <w:rFonts w:hint="eastAsia"/>
      </w:rPr>
    </w:lvl>
  </w:abstractNum>
  <w:abstractNum w:abstractNumId="3">
    <w:nsid w:val="9FDB710E"/>
    <w:multiLevelType w:val="singleLevel"/>
    <w:tmpl w:val="9FDB710E"/>
    <w:lvl w:ilvl="0" w:tentative="0">
      <w:start w:val="1"/>
      <w:numFmt w:val="decimal"/>
      <w:suff w:val="nothing"/>
      <w:lvlText w:val="（%1）"/>
      <w:lvlJc w:val="left"/>
    </w:lvl>
  </w:abstractNum>
  <w:abstractNum w:abstractNumId="4">
    <w:nsid w:val="D563049E"/>
    <w:multiLevelType w:val="singleLevel"/>
    <w:tmpl w:val="D563049E"/>
    <w:lvl w:ilvl="0" w:tentative="0">
      <w:start w:val="2"/>
      <w:numFmt w:val="chineseCounting"/>
      <w:suff w:val="nothing"/>
      <w:lvlText w:val="（%1）"/>
      <w:lvlJc w:val="left"/>
      <w:pPr>
        <w:ind w:left="38"/>
      </w:pPr>
      <w:rPr>
        <w:rFonts w:hint="eastAsia"/>
      </w:rPr>
    </w:lvl>
  </w:abstractNum>
  <w:abstractNum w:abstractNumId="5">
    <w:nsid w:val="FAC2C35A"/>
    <w:multiLevelType w:val="singleLevel"/>
    <w:tmpl w:val="FAC2C35A"/>
    <w:lvl w:ilvl="0" w:tentative="0">
      <w:start w:val="4"/>
      <w:numFmt w:val="decimal"/>
      <w:lvlText w:val="%1."/>
      <w:lvlJc w:val="left"/>
      <w:pPr>
        <w:tabs>
          <w:tab w:val="left" w:pos="312"/>
        </w:tabs>
      </w:pPr>
    </w:lvl>
  </w:abstractNum>
  <w:abstractNum w:abstractNumId="6">
    <w:nsid w:val="65E801A8"/>
    <w:multiLevelType w:val="singleLevel"/>
    <w:tmpl w:val="65E801A8"/>
    <w:lvl w:ilvl="0" w:tentative="0">
      <w:start w:val="3"/>
      <w:numFmt w:val="decimal"/>
      <w:lvlText w:val="%1."/>
      <w:lvlJc w:val="left"/>
      <w:pPr>
        <w:tabs>
          <w:tab w:val="left" w:pos="312"/>
        </w:tabs>
      </w:pPr>
    </w:lvl>
  </w:abstractNum>
  <w:abstractNum w:abstractNumId="7">
    <w:nsid w:val="6CABCBA7"/>
    <w:multiLevelType w:val="singleLevel"/>
    <w:tmpl w:val="6CABCBA7"/>
    <w:lvl w:ilvl="0" w:tentative="0">
      <w:start w:val="1"/>
      <w:numFmt w:val="decimal"/>
      <w:suff w:val="nothing"/>
      <w:lvlText w:val="（%1）"/>
      <w:lvlJc w:val="left"/>
    </w:lvl>
  </w:abstractNum>
  <w:abstractNum w:abstractNumId="8">
    <w:nsid w:val="7624C3D5"/>
    <w:multiLevelType w:val="singleLevel"/>
    <w:tmpl w:val="7624C3D5"/>
    <w:lvl w:ilvl="0" w:tentative="0">
      <w:start w:val="2"/>
      <w:numFmt w:val="decimal"/>
      <w:lvlText w:val="%1."/>
      <w:lvlJc w:val="left"/>
      <w:pPr>
        <w:tabs>
          <w:tab w:val="left" w:pos="312"/>
        </w:tabs>
      </w:pPr>
    </w:lvl>
  </w:abstractNum>
  <w:abstractNum w:abstractNumId="9">
    <w:nsid w:val="7C76ABC3"/>
    <w:multiLevelType w:val="singleLevel"/>
    <w:tmpl w:val="7C76ABC3"/>
    <w:lvl w:ilvl="0" w:tentative="0">
      <w:start w:val="1"/>
      <w:numFmt w:val="decimal"/>
      <w:suff w:val="nothing"/>
      <w:lvlText w:val="（%1）"/>
      <w:lvlJc w:val="left"/>
      <w:pPr>
        <w:ind w:left="615" w:leftChars="0" w:firstLine="0" w:firstLineChars="0"/>
      </w:pPr>
    </w:lvl>
  </w:abstractNum>
  <w:abstractNum w:abstractNumId="10">
    <w:nsid w:val="7CCB8C7A"/>
    <w:multiLevelType w:val="singleLevel"/>
    <w:tmpl w:val="7CCB8C7A"/>
    <w:lvl w:ilvl="0" w:tentative="0">
      <w:start w:val="1"/>
      <w:numFmt w:val="decimal"/>
      <w:suff w:val="nothing"/>
      <w:lvlText w:val="%1、"/>
      <w:lvlJc w:val="left"/>
    </w:lvl>
  </w:abstractNum>
  <w:num w:numId="1">
    <w:abstractNumId w:val="7"/>
  </w:num>
  <w:num w:numId="2">
    <w:abstractNumId w:val="3"/>
  </w:num>
  <w:num w:numId="3">
    <w:abstractNumId w:val="1"/>
  </w:num>
  <w:num w:numId="4">
    <w:abstractNumId w:val="6"/>
  </w:num>
  <w:num w:numId="5">
    <w:abstractNumId w:val="5"/>
  </w:num>
  <w:num w:numId="6">
    <w:abstractNumId w:val="8"/>
  </w:num>
  <w:num w:numId="7">
    <w:abstractNumId w:val="9"/>
  </w:num>
  <w:num w:numId="8">
    <w:abstractNumId w:val="0"/>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4"/>
  <w:drawingGridVerticalSpacing w:val="2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zMTlhZGI1ZDVkZmU1YjNlOGEwNzg5OGE4M2M3YzgifQ=="/>
  </w:docVars>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1D1620C"/>
    <w:rsid w:val="02373E8E"/>
    <w:rsid w:val="03FF607A"/>
    <w:rsid w:val="04575A22"/>
    <w:rsid w:val="045E75EC"/>
    <w:rsid w:val="048F465A"/>
    <w:rsid w:val="05146D2C"/>
    <w:rsid w:val="053E2FDF"/>
    <w:rsid w:val="05B91DF8"/>
    <w:rsid w:val="06B42229"/>
    <w:rsid w:val="06D76ECD"/>
    <w:rsid w:val="08DE3B4A"/>
    <w:rsid w:val="091E6A91"/>
    <w:rsid w:val="092D4033"/>
    <w:rsid w:val="09545E5B"/>
    <w:rsid w:val="0A00672A"/>
    <w:rsid w:val="0A292557"/>
    <w:rsid w:val="0BA37371"/>
    <w:rsid w:val="0BC33EB3"/>
    <w:rsid w:val="0BDF3E3E"/>
    <w:rsid w:val="0E3A3E11"/>
    <w:rsid w:val="0F5E2698"/>
    <w:rsid w:val="0F6A57D0"/>
    <w:rsid w:val="103B5260"/>
    <w:rsid w:val="111845EC"/>
    <w:rsid w:val="12C87175"/>
    <w:rsid w:val="1867206B"/>
    <w:rsid w:val="18C90D16"/>
    <w:rsid w:val="19C92C51"/>
    <w:rsid w:val="1C382FFF"/>
    <w:rsid w:val="1C832BCD"/>
    <w:rsid w:val="1D85557E"/>
    <w:rsid w:val="1D8F5A2D"/>
    <w:rsid w:val="1F7E11DA"/>
    <w:rsid w:val="2036498B"/>
    <w:rsid w:val="2314528B"/>
    <w:rsid w:val="27703E0A"/>
    <w:rsid w:val="27C32A09"/>
    <w:rsid w:val="28D53C80"/>
    <w:rsid w:val="298755B9"/>
    <w:rsid w:val="2C8D0CE6"/>
    <w:rsid w:val="2CF366A9"/>
    <w:rsid w:val="2D0965B8"/>
    <w:rsid w:val="31375961"/>
    <w:rsid w:val="313A2075"/>
    <w:rsid w:val="31F64ADF"/>
    <w:rsid w:val="32803FFD"/>
    <w:rsid w:val="345F2E35"/>
    <w:rsid w:val="35F64F91"/>
    <w:rsid w:val="366317D0"/>
    <w:rsid w:val="36B631C1"/>
    <w:rsid w:val="36B9403D"/>
    <w:rsid w:val="36C45D7B"/>
    <w:rsid w:val="372438BE"/>
    <w:rsid w:val="374A2D64"/>
    <w:rsid w:val="39F4482F"/>
    <w:rsid w:val="3BFB2C34"/>
    <w:rsid w:val="3EA6513A"/>
    <w:rsid w:val="3F1162DC"/>
    <w:rsid w:val="3F21320E"/>
    <w:rsid w:val="3FEC488D"/>
    <w:rsid w:val="40A23390"/>
    <w:rsid w:val="40FE308C"/>
    <w:rsid w:val="415F7DF3"/>
    <w:rsid w:val="429E4050"/>
    <w:rsid w:val="434D3A87"/>
    <w:rsid w:val="44415998"/>
    <w:rsid w:val="46353D30"/>
    <w:rsid w:val="4637159F"/>
    <w:rsid w:val="46B75683"/>
    <w:rsid w:val="4876582E"/>
    <w:rsid w:val="48D313B8"/>
    <w:rsid w:val="49A65456"/>
    <w:rsid w:val="4A315EA7"/>
    <w:rsid w:val="4B4A4E71"/>
    <w:rsid w:val="4BCD0A13"/>
    <w:rsid w:val="4D58653B"/>
    <w:rsid w:val="4DD1647B"/>
    <w:rsid w:val="4E4E31AC"/>
    <w:rsid w:val="4FD6302C"/>
    <w:rsid w:val="52181C0C"/>
    <w:rsid w:val="52935E2A"/>
    <w:rsid w:val="544B0262"/>
    <w:rsid w:val="555E2202"/>
    <w:rsid w:val="55E6524B"/>
    <w:rsid w:val="57252D2D"/>
    <w:rsid w:val="585316E8"/>
    <w:rsid w:val="59B770D3"/>
    <w:rsid w:val="59D90C7C"/>
    <w:rsid w:val="5BA9261B"/>
    <w:rsid w:val="5C242DBB"/>
    <w:rsid w:val="5C762B4F"/>
    <w:rsid w:val="5D07484F"/>
    <w:rsid w:val="5DCC1672"/>
    <w:rsid w:val="5E800718"/>
    <w:rsid w:val="5EB64B22"/>
    <w:rsid w:val="5F2E0E57"/>
    <w:rsid w:val="5F7C533D"/>
    <w:rsid w:val="602A3769"/>
    <w:rsid w:val="606A17C0"/>
    <w:rsid w:val="60DF3BEB"/>
    <w:rsid w:val="66C15376"/>
    <w:rsid w:val="66D923D5"/>
    <w:rsid w:val="68681920"/>
    <w:rsid w:val="68C46152"/>
    <w:rsid w:val="6AB35823"/>
    <w:rsid w:val="6AC93461"/>
    <w:rsid w:val="6BEE5E0F"/>
    <w:rsid w:val="6C6B0F01"/>
    <w:rsid w:val="6C7C0C07"/>
    <w:rsid w:val="6DC960EC"/>
    <w:rsid w:val="6E843842"/>
    <w:rsid w:val="6FA16E52"/>
    <w:rsid w:val="717833CC"/>
    <w:rsid w:val="723C4759"/>
    <w:rsid w:val="72B901EF"/>
    <w:rsid w:val="736F667C"/>
    <w:rsid w:val="739A23F0"/>
    <w:rsid w:val="73CD11B3"/>
    <w:rsid w:val="74176A35"/>
    <w:rsid w:val="78D310E4"/>
    <w:rsid w:val="7B97435D"/>
    <w:rsid w:val="7BC33245"/>
    <w:rsid w:val="7E9B157A"/>
    <w:rsid w:val="7EAA37EE"/>
    <w:rsid w:val="7F2F2911"/>
    <w:rsid w:val="7FAD7E13"/>
    <w:rsid w:val="7FAF71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annotation text"/>
    <w:basedOn w:val="1"/>
    <w:qFormat/>
    <w:uiPriority w:val="0"/>
    <w:pPr>
      <w:jc w:val="left"/>
    </w:pPr>
  </w:style>
  <w:style w:type="paragraph" w:styleId="4">
    <w:name w:val="Balloon Text"/>
    <w:basedOn w:val="1"/>
    <w:semiHidden/>
    <w:qFormat/>
    <w:uiPriority w:val="0"/>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jc w:val="left"/>
    </w:pPr>
    <w:rPr>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1">
    <w:name w:val="正文首行缩进 21"/>
    <w:basedOn w:val="1"/>
    <w:qFormat/>
    <w:uiPriority w:val="0"/>
    <w:pPr>
      <w:spacing w:line="360" w:lineRule="auto"/>
      <w:ind w:firstLine="420" w:firstLineChars="200"/>
      <w:textAlignment w:val="baseline"/>
    </w:pPr>
    <w:rPr>
      <w:rFonts w:eastAsia="宋体"/>
      <w:sz w:val="24"/>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9335</Words>
  <Characters>9791</Characters>
  <Lines>6</Lines>
  <Paragraphs>1</Paragraphs>
  <TotalTime>5</TotalTime>
  <ScaleCrop>false</ScaleCrop>
  <LinksUpToDate>false</LinksUpToDate>
  <CharactersWithSpaces>9849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简少华</cp:lastModifiedBy>
  <cp:lastPrinted>2023-05-29T02:12:00Z</cp:lastPrinted>
  <dcterms:modified xsi:type="dcterms:W3CDTF">2025-11-28T04:02:44Z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0999955AA3B243139C1D21DCC51D2473_13</vt:lpwstr>
  </property>
  <property fmtid="{D5CDD505-2E9C-101B-9397-08002B2CF9AE}" pid="4" name="KSOTemplateDocerSaveRecord">
    <vt:lpwstr>eyJoZGlkIjoiYjkzMTlhZGI1ZDVkZmU1YjNlOGEwNzg5OGE4M2M3YzgiLCJ1c2VySWQiOiI2OTc4NDQ5MDMifQ==</vt:lpwstr>
  </property>
</Properties>
</file>