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EF2F0">
      <w:pPr>
        <w:keepNext w:val="0"/>
        <w:keepLines w:val="0"/>
        <w:widowControl/>
        <w:suppressLineNumbers w:val="0"/>
        <w:jc w:val="center"/>
        <w:rPr>
          <w:rFonts w:hint="eastAsia" w:ascii="方正小标宋简体" w:hAnsi="方正小标宋简体" w:eastAsia="方正小标宋简体" w:cs="方正小标宋简体"/>
          <w:color w:val="000000"/>
          <w:kern w:val="0"/>
          <w:sz w:val="18"/>
          <w:szCs w:val="18"/>
          <w:lang w:val="en-US" w:eastAsia="zh-CN" w:bidi="ar"/>
        </w:rPr>
      </w:pPr>
    </w:p>
    <w:p w14:paraId="2B80D9A9">
      <w:pPr>
        <w:keepNext w:val="0"/>
        <w:keepLines w:val="0"/>
        <w:widowControl/>
        <w:suppressLineNumbers w:val="0"/>
        <w:jc w:val="center"/>
        <w:rPr>
          <w:rFonts w:hint="eastAsia" w:ascii="方正小标宋简体" w:hAnsi="方正小标宋简体" w:eastAsia="方正小标宋简体" w:cs="方正小标宋简体"/>
          <w:color w:val="000000"/>
          <w:kern w:val="0"/>
          <w:sz w:val="36"/>
          <w:szCs w:val="36"/>
          <w:lang w:val="en-US" w:eastAsia="zh-CN" w:bidi="ar"/>
        </w:rPr>
      </w:pPr>
      <w:bookmarkStart w:id="0" w:name="_GoBack"/>
      <w:r>
        <w:rPr>
          <w:rFonts w:hint="default" w:ascii="方正小标宋简体" w:hAnsi="方正小标宋简体" w:eastAsia="方正小标宋简体" w:cs="方正小标宋简体"/>
          <w:color w:val="000000"/>
          <w:kern w:val="0"/>
          <w:sz w:val="36"/>
          <w:szCs w:val="36"/>
          <w:lang w:val="en-US" w:eastAsia="zh-CN" w:bidi="ar"/>
        </w:rPr>
        <w:t>2024</w:t>
      </w:r>
      <w:bookmarkEnd w:id="0"/>
      <w:r>
        <w:rPr>
          <w:rFonts w:hint="eastAsia" w:ascii="方正小标宋简体" w:hAnsi="方正小标宋简体" w:eastAsia="方正小标宋简体" w:cs="方正小标宋简体"/>
          <w:color w:val="000000"/>
          <w:kern w:val="0"/>
          <w:sz w:val="36"/>
          <w:szCs w:val="36"/>
          <w:lang w:val="en-US" w:eastAsia="zh-CN" w:bidi="ar"/>
        </w:rPr>
        <w:t>年度一般公共预算财政拨款“三公”经费</w:t>
      </w:r>
    </w:p>
    <w:p w14:paraId="79A07C3C">
      <w:pPr>
        <w:keepNext w:val="0"/>
        <w:keepLines w:val="0"/>
        <w:widowControl/>
        <w:suppressLineNumbers w:val="0"/>
        <w:jc w:val="center"/>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t>支出决算情况说明</w:t>
      </w:r>
    </w:p>
    <w:p w14:paraId="22E25CAA">
      <w:pPr>
        <w:keepNext w:val="0"/>
        <w:keepLines w:val="0"/>
        <w:widowControl/>
        <w:suppressLineNumbers w:val="0"/>
        <w:jc w:val="center"/>
        <w:rPr>
          <w:rFonts w:hint="eastAsia" w:ascii="方正小标宋简体" w:hAnsi="方正小标宋简体" w:eastAsia="方正小标宋简体" w:cs="方正小标宋简体"/>
          <w:color w:val="000000"/>
          <w:kern w:val="0"/>
          <w:sz w:val="21"/>
          <w:szCs w:val="21"/>
          <w:lang w:val="en-US" w:eastAsia="zh-CN" w:bidi="ar"/>
        </w:rPr>
      </w:pPr>
    </w:p>
    <w:p w14:paraId="7E901358">
      <w:pPr>
        <w:keepNext w:val="0"/>
        <w:keepLines w:val="0"/>
        <w:pageBreakBefore w:val="0"/>
        <w:widowControl/>
        <w:suppressLineNumbers w:val="0"/>
        <w:kinsoku/>
        <w:wordWrap/>
        <w:overflowPunct/>
        <w:topLinePunct w:val="0"/>
        <w:autoSpaceDE/>
        <w:autoSpaceDN/>
        <w:bidi w:val="0"/>
        <w:adjustRightInd/>
        <w:snapToGrid/>
        <w:spacing w:line="560" w:lineRule="atLeas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lang w:val="en-US" w:eastAsia="zh-CN" w:bidi="ar"/>
        </w:rPr>
        <w:t xml:space="preserve">一、“三公”经费财政拨款支出决算总体情况说明 </w:t>
      </w:r>
    </w:p>
    <w:p w14:paraId="3EABEC3E">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阳西县审计局</w:t>
      </w:r>
      <w:r>
        <w:rPr>
          <w:rFonts w:hint="default" w:ascii="Times New Roman" w:hAnsi="Times New Roman" w:eastAsia="仿宋_GB2312" w:cs="Times New Roman"/>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年度“三公”经费财政拨款支出决算为</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05</w:t>
      </w:r>
      <w:r>
        <w:rPr>
          <w:rFonts w:hint="eastAsia" w:ascii="仿宋_GB2312" w:hAnsi="仿宋_GB2312" w:eastAsia="仿宋_GB2312" w:cs="仿宋_GB2312"/>
          <w:color w:val="000000"/>
          <w:kern w:val="0"/>
          <w:sz w:val="32"/>
          <w:szCs w:val="32"/>
          <w:lang w:val="en-US" w:eastAsia="zh-CN" w:bidi="ar"/>
        </w:rPr>
        <w:t>万元，完成全年预算</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23</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41</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en-US" w:eastAsia="zh-CN" w:bidi="ar"/>
        </w:rPr>
        <w:t>，比上年决算数减少</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37</w:t>
      </w:r>
      <w:r>
        <w:rPr>
          <w:rFonts w:hint="eastAsia" w:ascii="仿宋_GB2312" w:hAnsi="仿宋_GB2312" w:eastAsia="仿宋_GB2312" w:cs="仿宋_GB2312"/>
          <w:color w:val="000000"/>
          <w:kern w:val="0"/>
          <w:sz w:val="32"/>
          <w:szCs w:val="32"/>
          <w:lang w:val="en-US" w:eastAsia="zh-CN" w:bidi="ar"/>
        </w:rPr>
        <w:t>万元，下降</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仿宋_GB2312" w:eastAsia="仿宋_GB2312" w:cs="仿宋_GB2312"/>
          <w:color w:val="000000"/>
          <w:kern w:val="0"/>
          <w:sz w:val="32"/>
          <w:szCs w:val="32"/>
          <w:lang w:val="en-US" w:eastAsia="zh-CN" w:bidi="ar"/>
        </w:rPr>
        <w:t>。其中：因公出国（境）费支出决算为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万元，完成预算</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（基数为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，不可比），比上年决算数增加</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万元，增长--（基数为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，不可比）；公务用车购置及运行维护费支出决算为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万元，完成预算</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23</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51</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en-US" w:eastAsia="zh-CN" w:bidi="ar"/>
        </w:rPr>
        <w:t>，比上年决算数增加</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万元，增长</w:t>
      </w:r>
      <w:r>
        <w:rPr>
          <w:rFonts w:hint="default" w:ascii="Times New Roman" w:hAnsi="Times New Roman" w:eastAsia="仿宋_GB2312" w:cs="Times New Roman"/>
          <w:color w:val="000000"/>
          <w:kern w:val="0"/>
          <w:sz w:val="32"/>
          <w:szCs w:val="32"/>
          <w:lang w:val="en-US" w:eastAsia="zh-CN" w:bidi="ar"/>
        </w:rPr>
        <w:t>37</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；其中：公务用车购置支出决算为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万元，完成预算</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（基数为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，不可比），比上年决算数增加</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万元，增长--（基数为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，不可比）；公务用车运行维护费支出决算为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万元，完成预算</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23</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51</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en-US" w:eastAsia="zh-CN" w:bidi="ar"/>
        </w:rPr>
        <w:t>，比上年决算数增加</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万元，增长</w:t>
      </w:r>
      <w:r>
        <w:rPr>
          <w:rFonts w:hint="default" w:ascii="Times New Roman" w:hAnsi="Times New Roman" w:eastAsia="仿宋_GB2312" w:cs="Times New Roman"/>
          <w:color w:val="000000"/>
          <w:kern w:val="0"/>
          <w:sz w:val="32"/>
          <w:szCs w:val="32"/>
          <w:lang w:val="en-US" w:eastAsia="zh-CN" w:bidi="ar"/>
        </w:rPr>
        <w:t>37</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；公务接待费支出决算为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86</w:t>
      </w:r>
      <w:r>
        <w:rPr>
          <w:rFonts w:hint="eastAsia" w:ascii="仿宋_GB2312" w:hAnsi="仿宋_GB2312" w:eastAsia="仿宋_GB2312" w:cs="仿宋_GB2312"/>
          <w:color w:val="000000"/>
          <w:kern w:val="0"/>
          <w:sz w:val="32"/>
          <w:szCs w:val="32"/>
          <w:lang w:val="en-US" w:eastAsia="zh-CN" w:bidi="ar"/>
        </w:rPr>
        <w:t>万元，完成预算</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仿宋_GB2312" w:eastAsia="仿宋_GB2312" w:cs="仿宋_GB2312"/>
          <w:color w:val="000000"/>
          <w:kern w:val="0"/>
          <w:sz w:val="32"/>
          <w:szCs w:val="32"/>
          <w:lang w:val="en-US" w:eastAsia="zh-CN" w:bidi="ar"/>
        </w:rPr>
        <w:t>万元的</w:t>
      </w:r>
      <w:r>
        <w:rPr>
          <w:rFonts w:hint="default" w:ascii="Times New Roman" w:hAnsi="Times New Roman" w:eastAsia="仿宋_GB2312" w:cs="Times New Roman"/>
          <w:color w:val="000000"/>
          <w:kern w:val="0"/>
          <w:sz w:val="32"/>
          <w:szCs w:val="32"/>
          <w:lang w:val="en-US" w:eastAsia="zh-CN" w:bidi="ar"/>
        </w:rPr>
        <w:t>35</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en-US" w:eastAsia="zh-CN" w:bidi="ar"/>
        </w:rPr>
        <w:t>，比上年决算数减少</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97</w:t>
      </w:r>
      <w:r>
        <w:rPr>
          <w:rFonts w:hint="eastAsia" w:ascii="仿宋_GB2312" w:hAnsi="仿宋_GB2312" w:eastAsia="仿宋_GB2312" w:cs="仿宋_GB2312"/>
          <w:color w:val="000000"/>
          <w:kern w:val="0"/>
          <w:sz w:val="32"/>
          <w:szCs w:val="32"/>
          <w:lang w:val="en-US" w:eastAsia="zh-CN" w:bidi="ar"/>
        </w:rPr>
        <w:t>万元，下降</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p>
    <w:p w14:paraId="46735D50">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年度“三公”经费支出决算小于预算数的主要情况：认真贯彻落实中央八项规定精神和厉行节约的要求，从严控制“三公”经费开支，全年实际支出比预算有所节约。</w:t>
      </w:r>
    </w:p>
    <w:p w14:paraId="0FFEB631">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年度“三公”经费支出决算小于上年决算数的主要情况：认真贯彻落实中央八项规定精神和厉行节约的要求，继续从严控制“三公”经费开支，减压“三公”经费。</w:t>
      </w:r>
    </w:p>
    <w:p w14:paraId="3BEC2468">
      <w:pPr>
        <w:keepNext w:val="0"/>
        <w:keepLines w:val="0"/>
        <w:pageBreakBefore w:val="0"/>
        <w:widowControl/>
        <w:suppressLineNumbers w:val="0"/>
        <w:kinsoku/>
        <w:wordWrap/>
        <w:overflowPunct/>
        <w:topLinePunct w:val="0"/>
        <w:autoSpaceDE/>
        <w:autoSpaceDN/>
        <w:bidi w:val="0"/>
        <w:adjustRightInd/>
        <w:snapToGrid/>
        <w:spacing w:line="560" w:lineRule="atLeas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（二）“三公”经费财政拨款支出决算具体情况说明</w:t>
      </w:r>
    </w:p>
    <w:p w14:paraId="142C2800">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年度“三公”经费财政拨款支出决算中，因公出国（境）费</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万元，占</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；公务用车购置及运行维护费支出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万元，占</w:t>
      </w:r>
      <w:r>
        <w:rPr>
          <w:rFonts w:hint="default" w:ascii="Times New Roman" w:hAnsi="Times New Roman" w:eastAsia="仿宋_GB2312" w:cs="Times New Roman"/>
          <w:color w:val="000000"/>
          <w:kern w:val="0"/>
          <w:sz w:val="32"/>
          <w:szCs w:val="32"/>
          <w:lang w:val="en-US" w:eastAsia="zh-CN" w:bidi="ar"/>
        </w:rPr>
        <w:t>43</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en-US" w:eastAsia="zh-CN" w:bidi="ar"/>
        </w:rPr>
        <w:t>；公务接待费支出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86</w:t>
      </w:r>
      <w:r>
        <w:rPr>
          <w:rFonts w:hint="eastAsia" w:ascii="仿宋_GB2312" w:hAnsi="仿宋_GB2312" w:eastAsia="仿宋_GB2312" w:cs="仿宋_GB2312"/>
          <w:color w:val="000000"/>
          <w:kern w:val="0"/>
          <w:sz w:val="32"/>
          <w:szCs w:val="32"/>
          <w:lang w:val="en-US" w:eastAsia="zh-CN" w:bidi="ar"/>
        </w:rPr>
        <w:t>万元，占</w:t>
      </w:r>
      <w:r>
        <w:rPr>
          <w:rFonts w:hint="default" w:ascii="Times New Roman" w:hAnsi="Times New Roman" w:eastAsia="仿宋_GB2312" w:cs="Times New Roman"/>
          <w:color w:val="000000"/>
          <w:kern w:val="0"/>
          <w:sz w:val="32"/>
          <w:szCs w:val="32"/>
          <w:lang w:val="en-US" w:eastAsia="zh-CN" w:bidi="ar"/>
        </w:rPr>
        <w:t>56</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。具体情况如下：</w:t>
      </w:r>
    </w:p>
    <w:p w14:paraId="23F25BB9">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w:t>
      </w:r>
      <w:r>
        <w:rPr>
          <w:rFonts w:hint="eastAsia" w:ascii="仿宋_GB2312" w:hAnsi="仿宋_GB2312" w:eastAsia="仿宋_GB2312" w:cs="仿宋_GB2312"/>
          <w:color w:val="000000"/>
          <w:kern w:val="0"/>
          <w:sz w:val="32"/>
          <w:szCs w:val="32"/>
          <w:lang w:val="en-US" w:eastAsia="zh-CN" w:bidi="ar"/>
        </w:rPr>
        <w:t>.因公出国（境）费支出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万元。全年使用财政拨款安排出国（境）团组</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个、累计</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人次。</w:t>
      </w:r>
    </w:p>
    <w:p w14:paraId="7EB6F0F5">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.公务用车购置及运行维护费支出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万元，其中：公务用车购置支出为</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万元，公务用车购置数</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辆。公务用车运行维护费支出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万元，公务用车保有量为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辆，主要用于一般公务出行。</w:t>
      </w:r>
    </w:p>
    <w:p w14:paraId="14BE5A39">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en-US" w:eastAsia="zh-CN" w:bidi="ar"/>
        </w:rPr>
        <w:t>.公务接待费支出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86</w:t>
      </w:r>
      <w:r>
        <w:rPr>
          <w:rFonts w:hint="eastAsia" w:ascii="仿宋_GB2312" w:hAnsi="仿宋_GB2312" w:eastAsia="仿宋_GB2312" w:cs="仿宋_GB2312"/>
          <w:color w:val="000000"/>
          <w:kern w:val="0"/>
          <w:sz w:val="32"/>
          <w:szCs w:val="32"/>
          <w:lang w:val="en-US" w:eastAsia="zh-CN" w:bidi="ar"/>
        </w:rPr>
        <w:t>万元，主要用于省市上级审计部门单位检查和相关单位交流工作等方面的接待，共接待国外、境外来访团组</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个，来访外宾</w:t>
      </w:r>
      <w:r>
        <w:rPr>
          <w:rFonts w:hint="default" w:ascii="Times New Roman" w:hAnsi="Times New Roman" w:eastAsia="仿宋_GB2312" w:cs="Times New Roman"/>
          <w:color w:val="000000"/>
          <w:kern w:val="0"/>
          <w:sz w:val="32"/>
          <w:szCs w:val="32"/>
          <w:lang w:val="en-US" w:eastAsia="zh-CN" w:bidi="ar"/>
        </w:rPr>
        <w:t>0</w:t>
      </w:r>
      <w:r>
        <w:rPr>
          <w:rFonts w:hint="eastAsia" w:ascii="仿宋_GB2312" w:hAnsi="仿宋_GB2312" w:eastAsia="仿宋_GB2312" w:cs="仿宋_GB2312"/>
          <w:color w:val="000000"/>
          <w:kern w:val="0"/>
          <w:sz w:val="32"/>
          <w:szCs w:val="32"/>
          <w:lang w:val="en-US" w:eastAsia="zh-CN" w:bidi="ar"/>
        </w:rPr>
        <w:t>人次；发生国内接待</w:t>
      </w:r>
      <w:r>
        <w:rPr>
          <w:rFonts w:hint="default" w:ascii="Times New Roman" w:hAnsi="Times New Roman" w:eastAsia="仿宋_GB2312" w:cs="Times New Roman"/>
          <w:color w:val="000000"/>
          <w:kern w:val="0"/>
          <w:sz w:val="32"/>
          <w:szCs w:val="32"/>
          <w:lang w:val="en-US" w:eastAsia="zh-CN" w:bidi="ar"/>
        </w:rPr>
        <w:t>17</w:t>
      </w:r>
      <w:r>
        <w:rPr>
          <w:rFonts w:hint="eastAsia" w:ascii="仿宋_GB2312" w:hAnsi="仿宋_GB2312" w:eastAsia="仿宋_GB2312" w:cs="仿宋_GB2312"/>
          <w:color w:val="000000"/>
          <w:kern w:val="0"/>
          <w:sz w:val="32"/>
          <w:szCs w:val="32"/>
          <w:lang w:val="en-US" w:eastAsia="zh-CN" w:bidi="ar"/>
        </w:rPr>
        <w:t>次，接待人数共</w:t>
      </w:r>
      <w:r>
        <w:rPr>
          <w:rFonts w:hint="default" w:ascii="Times New Roman" w:hAnsi="Times New Roman" w:eastAsia="仿宋_GB2312" w:cs="Times New Roman"/>
          <w:color w:val="000000"/>
          <w:kern w:val="0"/>
          <w:sz w:val="32"/>
          <w:szCs w:val="32"/>
          <w:lang w:val="en-US" w:eastAsia="zh-CN" w:bidi="ar"/>
        </w:rPr>
        <w:t>150</w:t>
      </w:r>
      <w:r>
        <w:rPr>
          <w:rFonts w:hint="eastAsia" w:ascii="仿宋_GB2312" w:hAnsi="仿宋_GB2312" w:eastAsia="仿宋_GB2312" w:cs="仿宋_GB2312"/>
          <w:color w:val="000000"/>
          <w:kern w:val="0"/>
          <w:sz w:val="32"/>
          <w:szCs w:val="32"/>
          <w:lang w:val="en-US" w:eastAsia="zh-CN" w:bidi="ar"/>
        </w:rPr>
        <w:t>人。主要包括省市上级审计部门单位检查和相关单位交流工作等方面的接待。</w:t>
      </w:r>
    </w:p>
    <w:p w14:paraId="6E2C8144">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3EC5FD4C">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阳西县审计局</w:t>
      </w:r>
    </w:p>
    <w:p w14:paraId="68C02F61">
      <w:pPr>
        <w:keepNext w:val="0"/>
        <w:keepLines w:val="0"/>
        <w:pageBreakBefore w:val="0"/>
        <w:widowControl/>
        <w:suppressLineNumbers w:val="0"/>
        <w:kinsoku/>
        <w:wordWrap/>
        <w:overflowPunct/>
        <w:topLinePunct w:val="0"/>
        <w:autoSpaceDE/>
        <w:autoSpaceDN/>
        <w:bidi w:val="0"/>
        <w:adjustRightInd/>
        <w:snapToGrid/>
        <w:spacing w:line="560" w:lineRule="atLeast"/>
        <w:ind w:firstLine="640" w:firstLineChars="200"/>
        <w:jc w:val="right"/>
        <w:textAlignment w:val="auto"/>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2025</w:t>
      </w:r>
      <w:r>
        <w:rPr>
          <w:rFonts w:hint="eastAsia" w:ascii="仿宋_GB2312" w:hAnsi="仿宋_GB2312"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10</w:t>
      </w:r>
      <w:r>
        <w:rPr>
          <w:rFonts w:hint="eastAsia" w:ascii="仿宋_GB2312" w:hAnsi="仿宋_GB2312"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15</w:t>
      </w:r>
      <w:r>
        <w:rPr>
          <w:rFonts w:hint="eastAsia" w:ascii="仿宋_GB2312" w:hAnsi="仿宋_GB2312" w:eastAsia="仿宋_GB2312" w:cs="仿宋_GB2312"/>
          <w:color w:val="000000"/>
          <w:kern w:val="0"/>
          <w:sz w:val="32"/>
          <w:szCs w:val="32"/>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ZjU3NjU0YTUxNDU0OGFmOGE1YWM4YmVmMmQ0YjMifQ=="/>
  </w:docVars>
  <w:rsids>
    <w:rsidRoot w:val="00000000"/>
    <w:rsid w:val="05AE0492"/>
    <w:rsid w:val="1A0B1325"/>
    <w:rsid w:val="51404C2B"/>
    <w:rsid w:val="66664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861</Words>
  <Characters>981</Characters>
  <Lines>0</Lines>
  <Paragraphs>0</Paragraphs>
  <TotalTime>1</TotalTime>
  <ScaleCrop>false</ScaleCrop>
  <LinksUpToDate>false</LinksUpToDate>
  <CharactersWithSpaces>1026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2024-10-14T07:47:00Z</dcterms:created>
  <dc:creator>财会室</dc:creator>
  <cp:lastModifiedBy>嬅娟</cp:lastModifiedBy>
  <cp:lastPrinted>2024-10-14T07:58:00Z</cp:lastPrinted>
  <dcterms:modified xsi:type="dcterms:W3CDTF">2025-10-15T13:14:24Z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27DC2CDD65E348648D4151F577695D23_12</vt:lpwstr>
  </property>
  <property fmtid="{D5CDD505-2E9C-101B-9397-08002B2CF9AE}" pid="4" name="KSOTemplateDocerSaveRecord">
    <vt:lpwstr>eyJoZGlkIjoiZGM5YjhhYmVmNWRlZDgxMTYzNzczZTc5ZjY2MjhmYTQiLCJ1c2VySWQiOiI0NTcyNzU5MTkifQ==</vt:lpwstr>
  </property>
</Properties>
</file>