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1FD9B">
      <w:pPr>
        <w:rPr>
          <w:rFonts w:ascii="宋体" w:hAnsi="宋体" w:eastAsia="宋体"/>
          <w:color w:val="auto"/>
          <w:sz w:val="28"/>
          <w:szCs w:val="28"/>
        </w:rPr>
      </w:pPr>
      <w:bookmarkStart w:id="30" w:name="_GoBack"/>
      <w:bookmarkEnd w:id="30"/>
      <w:r>
        <w:rPr>
          <w:rFonts w:hint="eastAsia" w:ascii="宋体" w:hAnsi="宋体" w:eastAsia="宋体"/>
          <w:color w:val="auto"/>
          <w:sz w:val="28"/>
          <w:szCs w:val="28"/>
        </w:rPr>
        <w:t>附件2-3</w:t>
      </w:r>
    </w:p>
    <w:p w14:paraId="1E8538F3">
      <w:pPr>
        <w:rPr>
          <w:color w:val="auto"/>
        </w:rPr>
      </w:pPr>
    </w:p>
    <w:p w14:paraId="209D56DE">
      <w:pPr>
        <w:spacing w:line="360" w:lineRule="auto"/>
        <w:jc w:val="center"/>
        <w:rPr>
          <w:rFonts w:ascii="方正小标宋简体" w:eastAsia="方正小标宋简体"/>
          <w:color w:val="auto"/>
          <w:sz w:val="44"/>
          <w:szCs w:val="44"/>
        </w:rPr>
      </w:pPr>
      <w:r>
        <w:rPr>
          <w:rFonts w:hint="eastAsia" w:ascii="方正小标宋简体" w:eastAsia="方正小标宋简体"/>
          <w:color w:val="auto"/>
          <w:sz w:val="44"/>
          <w:szCs w:val="44"/>
        </w:rPr>
        <w:t>县级部门整体支出绩效自评报告</w:t>
      </w:r>
    </w:p>
    <w:p w14:paraId="01C20721">
      <w:pPr>
        <w:rPr>
          <w:rFonts w:hint="eastAsia" w:ascii="仿宋_GB2312"/>
          <w:color w:val="auto"/>
          <w:szCs w:val="44"/>
          <w:lang w:val="en-US" w:eastAsia="zh-CN"/>
        </w:rPr>
      </w:pPr>
      <w:r>
        <w:rPr>
          <w:rFonts w:hint="eastAsia" w:ascii="仿宋_GB2312"/>
          <w:color w:val="auto"/>
          <w:szCs w:val="44"/>
          <w:lang w:val="en-US" w:eastAsia="zh-CN"/>
        </w:rPr>
        <w:t xml:space="preserve"> </w:t>
      </w:r>
    </w:p>
    <w:p w14:paraId="7A04F514">
      <w:pPr>
        <w:rPr>
          <w:rFonts w:hint="eastAsia" w:ascii="仿宋_GB2312"/>
          <w:color w:val="auto"/>
          <w:szCs w:val="44"/>
          <w:lang w:val="en-US" w:eastAsia="zh-CN"/>
        </w:rPr>
      </w:pPr>
    </w:p>
    <w:p w14:paraId="0EFF09FC">
      <w:pPr>
        <w:rPr>
          <w:color w:val="auto"/>
        </w:rPr>
      </w:pPr>
    </w:p>
    <w:p w14:paraId="576F38C1">
      <w:pPr>
        <w:rPr>
          <w:color w:val="auto"/>
        </w:rPr>
      </w:pPr>
    </w:p>
    <w:p w14:paraId="5E5606EB">
      <w:pPr>
        <w:rPr>
          <w:color w:val="auto"/>
        </w:rPr>
      </w:pPr>
    </w:p>
    <w:p w14:paraId="27AC3F4B">
      <w:pPr>
        <w:ind w:firstLine="1894" w:firstLineChars="592"/>
        <w:rPr>
          <w:rFonts w:hint="default" w:eastAsia="仿宋_GB2312"/>
          <w:color w:val="auto"/>
          <w:lang w:val="en-US" w:eastAsia="zh-CN"/>
        </w:rPr>
      </w:pPr>
      <w:r>
        <w:rPr>
          <w:rFonts w:hint="eastAsia"/>
          <w:color w:val="auto"/>
        </w:rPr>
        <w:t>部门名称（公章）：</w:t>
      </w:r>
      <w:r>
        <w:rPr>
          <w:rFonts w:hint="eastAsia" w:ascii="仿宋_GB2312"/>
          <w:color w:val="auto"/>
          <w:lang w:val="en-US" w:eastAsia="zh-CN"/>
        </w:rPr>
        <w:t>阳西县商务局</w:t>
      </w:r>
    </w:p>
    <w:p w14:paraId="2D78BD83">
      <w:pPr>
        <w:ind w:firstLine="1894" w:firstLineChars="592"/>
        <w:rPr>
          <w:rFonts w:hint="eastAsia" w:eastAsia="仿宋_GB2312"/>
          <w:color w:val="auto"/>
          <w:lang w:val="en-US" w:eastAsia="zh-CN"/>
        </w:rPr>
      </w:pPr>
      <w:r>
        <w:rPr>
          <w:rFonts w:hint="eastAsia"/>
          <w:color w:val="auto"/>
        </w:rPr>
        <w:t>填报人姓名：</w:t>
      </w:r>
      <w:r>
        <w:rPr>
          <w:rFonts w:hint="eastAsia"/>
          <w:color w:val="auto"/>
          <w:lang w:val="en-US" w:eastAsia="zh-CN"/>
        </w:rPr>
        <w:t>谢晓文</w:t>
      </w:r>
    </w:p>
    <w:p w14:paraId="64B5AE64">
      <w:pPr>
        <w:ind w:firstLine="1894" w:firstLineChars="592"/>
        <w:rPr>
          <w:rFonts w:hint="default" w:eastAsia="仿宋_GB2312"/>
          <w:color w:val="auto"/>
          <w:lang w:val="en-US" w:eastAsia="zh-CN"/>
        </w:rPr>
      </w:pPr>
      <w:r>
        <w:rPr>
          <w:rFonts w:hint="eastAsia"/>
          <w:color w:val="auto"/>
        </w:rPr>
        <w:t>联系电话：</w:t>
      </w:r>
      <w:r>
        <w:rPr>
          <w:rFonts w:hint="eastAsia"/>
          <w:color w:val="auto"/>
          <w:lang w:val="en-US" w:eastAsia="zh-CN"/>
        </w:rPr>
        <w:t>5557608</w:t>
      </w:r>
    </w:p>
    <w:p w14:paraId="224518B7">
      <w:pPr>
        <w:ind w:firstLine="1894" w:firstLineChars="592"/>
        <w:rPr>
          <w:rFonts w:hint="default" w:eastAsia="仿宋_GB2312"/>
          <w:color w:val="auto"/>
          <w:lang w:val="en-US" w:eastAsia="zh-CN"/>
        </w:rPr>
      </w:pPr>
      <w:r>
        <w:rPr>
          <w:rFonts w:hint="eastAsia"/>
          <w:color w:val="auto"/>
        </w:rPr>
        <w:t>填报日期：</w:t>
      </w:r>
      <w:r>
        <w:rPr>
          <w:rFonts w:hint="eastAsia"/>
          <w:color w:val="auto"/>
          <w:lang w:val="en-US" w:eastAsia="zh-CN"/>
        </w:rPr>
        <w:t>2025年5月29日</w:t>
      </w:r>
    </w:p>
    <w:p w14:paraId="3C4D087F">
      <w:pPr>
        <w:rPr>
          <w:color w:val="auto"/>
        </w:rPr>
      </w:pPr>
    </w:p>
    <w:p w14:paraId="0DEE25B9">
      <w:pPr>
        <w:rPr>
          <w:color w:val="auto"/>
        </w:rPr>
      </w:pPr>
    </w:p>
    <w:p w14:paraId="43C00D14">
      <w:pPr>
        <w:rPr>
          <w:color w:val="auto"/>
        </w:rPr>
      </w:pPr>
    </w:p>
    <w:p w14:paraId="02D69445">
      <w:pPr>
        <w:rPr>
          <w:color w:val="auto"/>
        </w:rPr>
      </w:pPr>
    </w:p>
    <w:p w14:paraId="68835C68">
      <w:pPr>
        <w:rPr>
          <w:color w:val="auto"/>
        </w:rPr>
      </w:pPr>
      <w:r>
        <w:rPr>
          <w:rFonts w:hint="eastAsia"/>
          <w:color w:val="auto"/>
        </w:rPr>
        <w:t xml:space="preserve">                     阳西县财政局制</w:t>
      </w:r>
    </w:p>
    <w:p w14:paraId="3187C991">
      <w:pPr>
        <w:rPr>
          <w:color w:val="auto"/>
        </w:rPr>
      </w:pPr>
      <w:r>
        <w:rPr>
          <w:rFonts w:hint="eastAsia"/>
          <w:color w:val="auto"/>
        </w:rPr>
        <w:t xml:space="preserve">                         202</w:t>
      </w:r>
      <w:r>
        <w:rPr>
          <w:rFonts w:hint="eastAsia"/>
          <w:color w:val="auto"/>
          <w:lang w:val="en-US" w:eastAsia="zh-CN"/>
        </w:rPr>
        <w:t>5</w:t>
      </w:r>
      <w:r>
        <w:rPr>
          <w:rFonts w:hint="eastAsia"/>
          <w:color w:val="auto"/>
        </w:rPr>
        <w:t>年</w:t>
      </w:r>
    </w:p>
    <w:p w14:paraId="597EA0D3">
      <w:pPr>
        <w:rPr>
          <w:color w:val="auto"/>
        </w:rPr>
      </w:pPr>
    </w:p>
    <w:p w14:paraId="78B22FA9">
      <w:pPr>
        <w:rPr>
          <w:color w:val="auto"/>
        </w:rPr>
      </w:pPr>
    </w:p>
    <w:p w14:paraId="18A35D4A">
      <w:pPr>
        <w:pStyle w:val="10"/>
        <w:ind w:firstLine="640"/>
        <w:rPr>
          <w:rFonts w:ascii="仿宋_GB2312" w:hAnsi="Times New Roman" w:eastAsia="仿宋_GB2312"/>
          <w:color w:val="auto"/>
          <w:sz w:val="32"/>
          <w:szCs w:val="32"/>
        </w:rPr>
        <w:sectPr>
          <w:pgSz w:w="11906" w:h="16838"/>
          <w:pgMar w:top="2041" w:right="1417" w:bottom="1417" w:left="1531" w:header="851" w:footer="992" w:gutter="0"/>
          <w:pgNumType w:fmt="numberInDash" w:start="1"/>
          <w:cols w:space="720" w:num="1"/>
          <w:docGrid w:type="lines" w:linePitch="312" w:charSpace="0"/>
        </w:sectPr>
      </w:pPr>
    </w:p>
    <w:p w14:paraId="19CC6C4E">
      <w:pPr>
        <w:ind w:firstLine="616" w:firstLineChars="200"/>
        <w:rPr>
          <w:rFonts w:ascii="方正小标宋简体" w:eastAsia="方正小标宋简体"/>
          <w:color w:val="auto"/>
        </w:rPr>
      </w:pPr>
      <w:bookmarkStart w:id="0" w:name="_Toc28838"/>
      <w:bookmarkStart w:id="1" w:name="_Toc8021_WPSOffice_Level2"/>
      <w:r>
        <w:rPr>
          <w:rFonts w:hint="eastAsia" w:ascii="方正小标宋简体" w:eastAsia="方正小标宋简体"/>
          <w:color w:val="auto"/>
        </w:rPr>
        <w:t>一、部门基本情况</w:t>
      </w:r>
      <w:bookmarkEnd w:id="0"/>
    </w:p>
    <w:bookmarkEnd w:id="1"/>
    <w:p w14:paraId="265B7468">
      <w:pPr>
        <w:ind w:firstLine="616" w:firstLineChars="200"/>
        <w:rPr>
          <w:b/>
          <w:color w:val="auto"/>
        </w:rPr>
      </w:pPr>
      <w:bookmarkStart w:id="2" w:name="_Toc5988_WPSOffice_Level3"/>
      <w:bookmarkStart w:id="3" w:name="_Toc30104"/>
      <w:bookmarkStart w:id="4" w:name="_Toc23683"/>
      <w:r>
        <w:rPr>
          <w:rFonts w:hint="eastAsia"/>
          <w:b/>
          <w:color w:val="auto"/>
        </w:rPr>
        <w:t>（一）部门整体概况</w:t>
      </w:r>
      <w:bookmarkEnd w:id="2"/>
      <w:bookmarkEnd w:id="3"/>
      <w:bookmarkEnd w:id="4"/>
      <w:r>
        <w:rPr>
          <w:rFonts w:hint="eastAsia"/>
          <w:b/>
          <w:color w:val="auto"/>
        </w:rPr>
        <w:t>。</w:t>
      </w:r>
    </w:p>
    <w:p w14:paraId="46AD8397">
      <w:pPr>
        <w:ind w:firstLine="616" w:firstLineChars="200"/>
        <w:rPr>
          <w:rFonts w:hint="default" w:ascii="仿宋_GB2312" w:hAnsi="仿宋_GB2312" w:cs="仿宋_GB2312"/>
          <w:bCs/>
          <w:color w:val="auto"/>
          <w:szCs w:val="32"/>
          <w:lang w:val="en-US" w:eastAsia="zh-CN" w:bidi="ar"/>
        </w:rPr>
      </w:pPr>
      <w:bookmarkStart w:id="5" w:name="_Toc18779"/>
      <w:r>
        <w:rPr>
          <w:rFonts w:hint="eastAsia" w:ascii="仿宋_GB2312" w:hAnsi="仿宋_GB2312" w:cs="仿宋_GB2312"/>
          <w:bCs/>
          <w:color w:val="auto"/>
          <w:szCs w:val="32"/>
          <w:lang w:val="en-US" w:eastAsia="zh-CN" w:bidi="ar"/>
        </w:rPr>
        <w:t>1.单位基本信息</w:t>
      </w:r>
    </w:p>
    <w:p w14:paraId="2C8DC5C8">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县商务局负责贯彻落实党中央关于商务工作的方针政策和决策部署，按照省委、市委工作要求和县委工作安排，把坚持和加强党对商务工作的领导落实到履行职责过程中。主要职责是:</w:t>
      </w:r>
    </w:p>
    <w:p w14:paraId="1C69614B">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(一)贯彻执行国家、省、市商务管理及口岸工作有关方针政策和法律法规，起草有关规范性文件并组织实施;研究国内外贸易、现代流通方式的发展趋势并提出政策建议。</w:t>
      </w:r>
    </w:p>
    <w:p w14:paraId="68C92CE3">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二)拟订全县商务和口岸发展战略、规划、计划并组织实施;拟订市场体系建设、内外贸易发展、投资的政策措施并组织实施，加快推进现代市场体系建设，推动商贸服务平台建设;推进内外贸融合发展;优化商贸流通产业布局和结构。(三)贯彻执行有关健全和规范城乡市场发展的政策;建立市场诚信公共服务平台，推动商务领域信用建设;推进农村市场体系建设，指导大宗产品批发市场规划和县域商业网点规划、商业体系建设;促进商贸流通体制改革，协调解决商贸流通中的重大问题:推进流通标准化。</w:t>
      </w:r>
    </w:p>
    <w:p w14:paraId="3D022776">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四)负责整顿和规范市场经济秩序的相关协调工作:拟订并组织实施规范市场运行、流通秩序的政策措施;监测分析商务运行态势、商品供求，进行预测预警和信息引导;负责建立健全生活必需品市场供应应急管理机制。</w:t>
      </w:r>
    </w:p>
    <w:p w14:paraId="7EDD2484">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五)组织实施有关会展、电子商务、商务服务等发展规划和政策措施;推进连锁经营、商业特许经营、物流配送等现代流通方式发展;促进贸易增长方式转变，指导和协调贸易促进体系建设，推动电子商务服务体系和平台建设;促进商贸中小企业发展，指导商品贸易结构调整;推动流通业品牌建设。</w:t>
      </w:r>
    </w:p>
    <w:p w14:paraId="3B74B637">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六)组织实施有关流通业产业政策，提出优化产业布局、结构的政策建议:负责流通行业发展工作，指导和管理再生资源回收相关工作;依法对拍卖、汽车流通、旧货流通等流通行业进行监督管理;组织实施进出口商品目录;组织实施重要工业品、原材料和重要农产品(除粮食、棉花外)进出口计划以及进出口商品配额、关税配额计划。</w:t>
      </w:r>
    </w:p>
    <w:p w14:paraId="42CAF534">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七)牵头拟订全县服务贸易发展计划，负贵商贸服务业(含批发、零售、家政、餐饮、住宿业等)管理、发展相关工作;指导服务贸易领域的对外开放;会同有关部门制定促进服务出口和服务外包发展的规划、政策措施并组织实施;推动服务外包平台建设。</w:t>
      </w:r>
    </w:p>
    <w:p w14:paraId="0A8E9DE3">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(八)拟订并组织实施优化机电产品、高新技术产品进出口结构和对外技术贸易的政策措施;组织实施科技兴贸战略和国际品牌建设;负责监督协调机电产品国际招投标;推进进出口贸易标准化。</w:t>
      </w:r>
    </w:p>
    <w:p w14:paraId="636199D6">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九)负贵国内外经济合作和对外援助工作;拟订并组织实施有关经济合作的政策措施和管理办法;依法管理、监督和服务对外承包工程、对外劳务合作等对外经济合作业务;指导和监督检查本县承担的对外援助相关工作。</w:t>
      </w:r>
    </w:p>
    <w:p w14:paraId="5B33DBF4">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(十)负责有关开发区建设发展规划计划政策引导和协调、指导、管理工作;组织实施与自由贸易区相关战略;负贵有关开发区情况汇总、评价工作;研究分析有关开发区建设中的重大问题。</w:t>
      </w:r>
    </w:p>
    <w:p w14:paraId="32270F76">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十一)拟订全县商务交流计划并组织实施;负责全县性商务和口岸的重要外事活动;指导本系统外事和对外交流工作;推进海外经贸网络规划布局;负责粤港、粤澳及对台经贸工作;组织落实区域经贸合作、协作相关工作。</w:t>
      </w:r>
    </w:p>
    <w:p w14:paraId="313C835F">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(十二)负责口岸建设和对外开放规划并组织实施;负责电子口岸建设及口岸信息发布;参与协调口岸安全管理。</w:t>
      </w:r>
    </w:p>
    <w:p w14:paraId="673A6FBB">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十三)承担组织协调反倾销、反补贴、保障措施及其他进出口公平贸易相关工作:综合协调本县有关世界贸易组织事务的具体工作;依法组织产业损害调查及其他贸易救济指施;指导协调国外对本县出口商品的反倾销、反补贴、保障措施的应诉工作。</w:t>
      </w:r>
    </w:p>
    <w:p w14:paraId="70B82157">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(十四)拟订全县招商引资、对外投资规划、计划并组织实施;承担重大项目对外招商和跟踪服务工作;负责协调和指导全县招商引资、投资促进和驻外招商机构工作;负责对外投资管理和服务工作。</w:t>
      </w:r>
    </w:p>
    <w:p w14:paraId="2AAA93DE">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(十五)负责全县投资环境的整体宣传工作;负责与市内外投资促进工作部门的业务联系;接洽相关投资机构和企业，促进项目及资金引进;负责全县招商引资信息的收集、筛选、发布和服务;负责招商引资信息化建设。</w:t>
      </w:r>
    </w:p>
    <w:p w14:paraId="2DF4DEE0">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十六)指导全县外商投资工作，组织实施有关外商投资政策，拟订有关改革方案并组织实施，依法管理外商投资企业和项目有关事项，依法监督检查外商投资企业执行有关法律法规情况并协调解决有关重大问题;指导加工贸易工作，依法监督管理本县加工贸易进出口工作。</w:t>
      </w:r>
    </w:p>
    <w:p w14:paraId="7B2EEA75">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(十七)承办县委、县政府和市商务局、市投资促进局、口岸主管部门交办的其他任务。</w:t>
      </w:r>
    </w:p>
    <w:p w14:paraId="6B446C4E">
      <w:pPr>
        <w:numPr>
          <w:ilvl w:val="0"/>
          <w:numId w:val="0"/>
        </w:numPr>
        <w:ind w:firstLine="616" w:firstLineChars="200"/>
        <w:rPr>
          <w:rFonts w:hint="eastAsia" w:ascii="仿宋_GB2312" w:hAnsi="仿宋_GB2312" w:cs="仿宋_GB2312"/>
          <w:bCs/>
          <w:color w:val="auto"/>
          <w:szCs w:val="32"/>
          <w:lang w:val="en-US" w:eastAsia="zh-CN" w:bidi="ar"/>
        </w:rPr>
      </w:pPr>
      <w:r>
        <w:rPr>
          <w:rFonts w:hint="eastAsia" w:ascii="仿宋_GB2312" w:hAnsi="仿宋_GB2312" w:cs="仿宋_GB2312"/>
          <w:bCs/>
          <w:color w:val="auto"/>
          <w:szCs w:val="32"/>
          <w:lang w:val="en-US" w:eastAsia="zh-CN" w:bidi="ar"/>
        </w:rPr>
        <w:t>2内设机构情况</w:t>
      </w:r>
    </w:p>
    <w:p w14:paraId="49FD0211">
      <w:pPr>
        <w:numPr>
          <w:ilvl w:val="0"/>
          <w:numId w:val="0"/>
        </w:numPr>
        <w:ind w:firstLine="616" w:firstLineChars="200"/>
        <w:rPr>
          <w:rFonts w:hint="default" w:ascii="仿宋_GB2312" w:hAnsi="仿宋_GB2312" w:cs="仿宋_GB2312"/>
          <w:bCs/>
          <w:color w:val="auto"/>
          <w:szCs w:val="32"/>
          <w:lang w:val="en-US" w:eastAsia="zh-CN" w:bidi="ar"/>
        </w:rPr>
      </w:pPr>
      <w:r>
        <w:rPr>
          <w:rFonts w:hint="eastAsia" w:ascii="仿宋_GB2312" w:hAnsi="仿宋_GB2312" w:cs="仿宋_GB2312"/>
          <w:bCs/>
          <w:color w:val="auto"/>
          <w:szCs w:val="32"/>
          <w:lang w:val="en-US" w:eastAsia="zh-CN" w:bidi="ar"/>
        </w:rPr>
        <w:t>（1）综合办公室、（2）对外贸易与口岸管理股、（3）市场贸易股、（4）投资促进与招商服务股</w:t>
      </w:r>
      <w:r>
        <w:rPr>
          <w:rFonts w:hint="default" w:ascii="仿宋_GB2312" w:hAnsi="仿宋_GB2312" w:cs="仿宋_GB2312"/>
          <w:bCs/>
          <w:color w:val="auto"/>
          <w:szCs w:val="32"/>
          <w:lang w:val="en-US" w:eastAsia="zh-CN" w:bidi="ar"/>
        </w:rPr>
        <w:t>。</w:t>
      </w:r>
    </w:p>
    <w:p w14:paraId="026B5C4C">
      <w:pPr>
        <w:numPr>
          <w:ilvl w:val="0"/>
          <w:numId w:val="0"/>
        </w:numPr>
        <w:ind w:firstLine="616" w:firstLineChars="200"/>
        <w:rPr>
          <w:rFonts w:hint="default" w:ascii="仿宋_GB2312" w:hAnsi="仿宋_GB2312" w:cs="仿宋_GB2312"/>
          <w:bCs/>
          <w:color w:val="auto"/>
          <w:szCs w:val="32"/>
          <w:lang w:val="en-US" w:eastAsia="zh-CN" w:bidi="ar"/>
        </w:rPr>
      </w:pPr>
      <w:r>
        <w:rPr>
          <w:rFonts w:hint="eastAsia" w:ascii="仿宋_GB2312" w:hAnsi="仿宋_GB2312" w:cs="仿宋_GB2312"/>
          <w:bCs/>
          <w:color w:val="auto"/>
          <w:szCs w:val="32"/>
          <w:lang w:val="en-US" w:eastAsia="zh-CN" w:bidi="ar"/>
        </w:rPr>
        <w:t>3.单位人员情况</w:t>
      </w:r>
    </w:p>
    <w:bookmarkEnd w:id="5"/>
    <w:p w14:paraId="18280634">
      <w:pPr>
        <w:ind w:firstLine="616" w:firstLineChars="200"/>
        <w:rPr>
          <w:rFonts w:eastAsia="宋体"/>
          <w:color w:val="auto"/>
          <w:sz w:val="24"/>
          <w:szCs w:val="22"/>
        </w:rPr>
      </w:pPr>
      <w:bookmarkStart w:id="6" w:name="_Toc2082"/>
      <w:r>
        <w:rPr>
          <w:rFonts w:hint="eastAsia" w:ascii="仿宋_GB2312" w:hAnsi="仿宋_GB2312" w:cs="仿宋_GB2312"/>
          <w:bCs/>
          <w:color w:val="auto"/>
          <w:szCs w:val="32"/>
          <w:lang w:val="en-US" w:eastAsia="zh-CN" w:bidi="ar"/>
        </w:rPr>
        <w:t>本</w:t>
      </w:r>
      <w:r>
        <w:rPr>
          <w:rFonts w:hint="eastAsia" w:ascii="仿宋_GB2312" w:hAnsi="仿宋_GB2312" w:cs="仿宋_GB2312"/>
          <w:bCs/>
          <w:color w:val="auto"/>
          <w:szCs w:val="32"/>
          <w:lang w:bidi="ar"/>
        </w:rPr>
        <w:t>单位核定编制人数20人，年末实有人数20人（其中：财政拨款开支人员年末实有人数20人，经费自理人员年末实有人数0人），其他人员年末实有人数0人，除上述人员外，有离退休人员0人，遗属人员0人。</w:t>
      </w:r>
      <w:bookmarkEnd w:id="6"/>
    </w:p>
    <w:p w14:paraId="57F31772">
      <w:pPr>
        <w:ind w:firstLine="616" w:firstLineChars="200"/>
        <w:rPr>
          <w:b/>
          <w:color w:val="auto"/>
        </w:rPr>
      </w:pPr>
      <w:bookmarkStart w:id="7" w:name="_Toc14936_WPSOffice_Level2"/>
      <w:bookmarkStart w:id="8" w:name="_Toc25996"/>
      <w:r>
        <w:rPr>
          <w:rFonts w:hint="eastAsia"/>
          <w:b/>
          <w:color w:val="auto"/>
        </w:rPr>
        <w:t>（二）年度总体工作和重点工作任务</w:t>
      </w:r>
      <w:bookmarkEnd w:id="7"/>
      <w:bookmarkEnd w:id="8"/>
      <w:r>
        <w:rPr>
          <w:rFonts w:hint="eastAsia"/>
          <w:b/>
          <w:color w:val="auto"/>
        </w:rPr>
        <w:t>。</w:t>
      </w:r>
    </w:p>
    <w:p w14:paraId="1AFA8522">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2024年以来，全面贯彻落实党的二十大、认真落实省委“1310”具体部署和市委“433”工作安排，在县委县政府的正确的领导下，紧紧围绕打造绿色能源、绿色食品、临港工业、现代农业等优势产业集群目标，持续优化营商环境，加大招商引资工作力度，着力构建“绿色、向海、融湾”现代化产业体系。5月24日，县商务局（县投资促进局）正式成立，进一步加强全县招商力量和资源统筹，推动我县招商引资工作不断取得新突破、新成效，为全县经济社会高质量发展提供有力支撑。</w:t>
      </w:r>
    </w:p>
    <w:p w14:paraId="2C2D3549">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一）提额度，推动企业纳统。一是做好限上企业数据核准工作。走访全县48家限上企业，其中批发零售业37家，住餐业11家，进一步核准企业2024年销售额数据，要求其不瞒报不漏报，如实申报，应统尽统，同时督促企业加快转变为当地法人企业，在我县纳统，目前阳江市九州智诚酒店管理有限公司已转变为当地法人企业，在我县纳统。二是做好限下企业升规纳统工作。我局组织业务人员和职能部门县市场监管局对41家抽样企业中数据存疑的企业进行沟通核实，要求企业如实申报，客观反映企业真实经营情况。会同县统计局、县税务局和县市场监管局等部门对有潜力的限下企业进行排查，经过努力，阳西县荣发农牧销售有限公司、阳西县万利兴水产贸易有限公司、阳西县畅行车业有限公司、阳江天安食品配送有限公司、阳西县山海畜禽屠宰有限公司、阳西县上洋镇液化石油气站、阳西县腊之秋食品有限公司、京耀智家（阳西县）电器有限公司、阳西县山海畜禽屠宰有限公司、阳江市九州智诚酒店管理有限公司、阳西县润华工程服务有限公司、阳西县华阳燃气有限公司、阳江市鸿跃贸易有限公司和阳江市顺港贸易有限公司等14家企业已于2024年入库纳统。</w:t>
      </w:r>
    </w:p>
    <w:p w14:paraId="5B404333">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二）畅流通，深入实施县域商业建设行动示范县工作。验收通过12个项目，已拨付专项资金1000万元，资金拨付率达到100%。加快推动阳西县县域商业网点设施改造升级，提高人民群众的幸福感。成功举办广东省县域商业建设助力“百千万工程”现场会暨阳江市“漠阳品·幸福购”暑期促消费活动，受到省商务厅、各地市商务局以及各示范县的一致好评。</w:t>
      </w:r>
    </w:p>
    <w:p w14:paraId="7DCEEC68">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三）扩消费，商贸领域消费不断增强。把恢复和扩大消费摆在优先位置，通过推动供给创新培育消费新增长点，千方百计让消费热起来、活起来。持续推进促消费工作。2024年，培育阳西县畅行车行有限公司、京耀智家（阳西县）电器有限公司成为我县限上企业。组织阳西县畅行车行有限公司、京耀智家（阳西县）电器有限公司和阳西县宏达电器有限公司3家企业开展家电和电动自行车以旧换新活动，拉动消费增长1060万元。12月21日在阳西县御海城举办漠阳品·幸福购阳西迎元旦年货节促消费活动，组织以旧换新的家电、电动自行车和汽车企业到现场摆展，进一步拉动消费增长。推动电商发展，激活市场活力。6月5日，以“绿美阳西 魅‘荔’无限”为主题的2024阳西荔枝推介活动，传统商家和电商相配合，进一步打响了阳西荔枝的品牌，提升了阳西荔枝的市场竞争力。6月6日我县举办阳江市“加快发展农村电商，助力实施‘百千万工程’”交流研讨活动暨电商资源对接会，促进了各方资源的对接和整合，推动了农产品上行、产业下沉，带动了农村经济的发展。我局已向县政府申请珠海帮扶资金50万元用于支持阳西县电商协会建设，推动农村电商高质量发展。目前阳西县电商协会已采购一批拍摄和直播设备，进一步提高其直播能力。同时，组织协会骨干前往宁夏、陕西学习电商产业园建设、人才培养、电商运营、共建帮扶等方面先进经验，参照先进地区电商建设模式，逐步补齐我县电商短板，形成自身发展优势。</w:t>
      </w:r>
    </w:p>
    <w:p w14:paraId="25DE828A">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四）育品牌，打造当地特色“老字号”。根据省商务厅、市商务局开展广东老字号申报和认定工作要求和安排，我局对全县相关企业情况进行摸查，永光刀剪集团有限公司目前已通过省商务局等部门的审核，认定为第一批广东老字号。同时，我局按照市商务局工作组织企业申报“阳江老字号”，阳西县粤香酒家、广东巨树食品有限公司、阳西县塔山凉果厂和永光刀剪集团有限公司已作为 阳西县“阳江老字号”推荐名单进行公示。</w:t>
      </w:r>
    </w:p>
    <w:p w14:paraId="55E401DB">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五）强服务，落实外贸主体培育壮大工作。一是落实企业服务工作。我局深入到各外资外贸企业调研，了解需求。已为我县企业争取到2个136届秋季广交会展位，11个中国食品食材展展位和5个中国进口博览会参展名额；协调阳江海关为我县绿客门（广东）食品有限公司解决进口菜籽油问题。二是做好政策宣贯工作。同时联合县司法局、县市场监管局在阳西县永光不锈钢制品有限公司举办了阳西县“以法慧县，粤形越稳”涉外法律服务暨知识产权宣传活动；邀请阳江海关到我县举办进出口企业政策宣贯会，现场与企业对进出口相关问题进行的交流指导；组织企业参加“RCEP助力阳江‘4+4’产业稳链强链延链专题培训”。</w:t>
      </w:r>
    </w:p>
    <w:p w14:paraId="6D06E79C">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六）促发展，扎实开展招商工作。2024年新引进项目32个，总投资额超200亿元。已落户华兴玻璃、国港储能、德沁狮子岭文旅等14个项目。完善招商机制。统筹做好招商领导小组办公室和农业海洋文旅招商队、工业招商队、珠海帮扶招商队三支招商队工作，每周将工作情况汇报县委、县政府。开展多形式的招商活动。落实县委、县政府工作部署，每季度召开一次招商推介会，为阳西吹响招商号角。3月28日在广西南宁举办“2024广东阳西健康食品产业（广西）招商推介会”，签约了“华兴玻璃”““安多宝食品”“阳西现代科技农业园”等项目，涵盖了健康食品、现代农业、文旅融合等多个领域领域；同时与广西食品工业协会、中国农业发展银行阳江市分行达成签约合作，为阳西县健康食品产业多元融合发展注入强大动力。4月19日，在县城举办宜居宜业招商推介会，向60多位参会企业家代表推介14宗优质土地资源情况，增强企业家到阳西投资兴业的信心，带动更多企业参与阳西建设，为阳西高质量发展添砖加瓦。6月25日，在北京举办2024广东阳西名特优农副产品（北京新发地）推介活动，推介阳西投资环境。8月24日，举办长寿之乡产业经济发展大会，开展长寿产业招商推介，打造长寿文化品牌。12月21日，举办“绿美阳江·中国蚝都”2024年程村蚝美食文化周暨“味动中国”调味品产业创新发展大会等招商推介活动。</w:t>
      </w:r>
    </w:p>
    <w:p w14:paraId="29150E63">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七）筑安全，商贸市场更加平稳有序。强化责任担当，扎实开展安全生产，消防安全、燃气安全等各项排查整治工作，促进我县商贸领域安全生产持续稳定发展。一是组织开展集中除患攻坚行动排查摸底。针对大型商超、餐饮场所、宾馆饭店、二手车交易场所、再生资源回收站、旧货市场等商贸流通领域开展了集中除患攻坚行动，出动执法检查人员120余人次，发现隐患问题35个，督促整改35个，整改率100%。二是指导乡镇开展燃气餐饮企业安全生产主体责任培训。截止日前，我县8个乡镇已全部开展了燃气餐饮企业安全生产主体责任培训会议，共318家餐饮住宿单位参加了培训，有效提升了我县餐饮场所燃气安全意识和风险防范意识，预防和减少燃气安全事故发生。三是开展消防安全演练。6月底，在凯旋商业广场和御海城盒小马超市组织开展安全生产和消防疏散灭火演练，参加演练人数300余人，通过消防安全知识培训、消防疏散和灭火情景模拟等环节，进一步加深参与人员对安全应急疏散程序认识，在实操演练中掌握灭火技巧。</w:t>
      </w:r>
    </w:p>
    <w:p w14:paraId="6AC382ED">
      <w:pPr>
        <w:ind w:firstLine="616" w:firstLineChars="200"/>
        <w:rPr>
          <w:rFonts w:ascii="仿宋_GB2312" w:hAnsi="仿宋_GB2312" w:cs="仿宋_GB2312"/>
          <w:bCs/>
          <w:color w:val="auto"/>
          <w:szCs w:val="32"/>
          <w:lang w:bidi="ar"/>
        </w:rPr>
      </w:pPr>
      <w:r>
        <w:rPr>
          <w:rFonts w:hint="eastAsia" w:ascii="仿宋_GB2312" w:hAnsi="仿宋_GB2312" w:cs="仿宋_GB2312"/>
          <w:bCs/>
          <w:color w:val="auto"/>
          <w:szCs w:val="32"/>
          <w:lang w:bidi="ar"/>
        </w:rPr>
        <w:t>（八）强党建，提高队伍建设。充分发挥领导核心作用，通过理论中心组、开党课、宣传资料上墙等方式认真落实“第一议题”制度，共开展“第一议题”学习16次，中心组学习12次，党支部大会学习2次，党日活动5次，并结合“七一”建党节组织党员干部职工到阳江市县委旧地址平岚村红色教育基地深入开展“追寻红色足迹 筑牢理想信念”红色教育主题党日活动，传承红色基因、厚植爱国情怀，把深入学习习近平新时代中国特色社会主义思想和党的二十大精神、二十届三中全会精神作为锤炼党性、提高素养的重要途径，加强党员干部党性，建设一支政治过硬、业务精良、作风清正高素质商务队伍。以提升组织力为重点，不断优化党员队伍结构，全年共发展党员2名，有效提升了党员队伍的整体素质；在阵地建设方面，积极争取上级党建资金，对我局的党建阵地进行了整改建设，打造党建宣传文化墙。同时，召开意识形态专题研究会议3次，深入学习领会习近平总书记关于意识形态的重要论述精神，切实增强抓好意识形态工作的政治自觉、思想自觉和行动自觉，压紧压实意识形态工作责任制，管住用好意识形态主阵地，加强意识形态风险防范化解，毫不放松抓好意识形态工作，把意识形态工作作为党的建设和政权建设的重要内容。</w:t>
      </w:r>
    </w:p>
    <w:p w14:paraId="1DD8C4D6">
      <w:pPr>
        <w:ind w:firstLine="520"/>
        <w:rPr>
          <w:rFonts w:ascii="仿宋_GB2312" w:hAnsi="仿宋_GB2312" w:cs="仿宋_GB2312"/>
          <w:bCs/>
          <w:color w:val="auto"/>
          <w:sz w:val="26"/>
          <w:szCs w:val="26"/>
        </w:rPr>
      </w:pPr>
      <w:bookmarkStart w:id="9" w:name="_Toc28424_WPSOffice_Level2"/>
      <w:bookmarkStart w:id="10" w:name="_Toc8086"/>
      <w:r>
        <w:rPr>
          <w:rFonts w:hint="eastAsia"/>
          <w:b/>
          <w:color w:val="auto"/>
        </w:rPr>
        <w:t>（三）</w:t>
      </w:r>
      <w:bookmarkEnd w:id="9"/>
      <w:bookmarkEnd w:id="10"/>
      <w:r>
        <w:rPr>
          <w:rFonts w:hint="eastAsia"/>
          <w:b/>
          <w:color w:val="auto"/>
        </w:rPr>
        <w:t>部门整体支出情况。</w:t>
      </w:r>
    </w:p>
    <w:p w14:paraId="6E0B9F71">
      <w:pPr>
        <w:ind w:firstLine="520"/>
        <w:jc w:val="center"/>
        <w:rPr>
          <w:rFonts w:hint="eastAsia" w:ascii="仿宋_GB2312" w:hAnsi="仿宋_GB2312" w:cs="仿宋_GB2312"/>
          <w:bCs/>
          <w:color w:val="auto"/>
          <w:szCs w:val="32"/>
          <w:lang w:val="en-US" w:eastAsia="zh-CN" w:bidi="ar"/>
        </w:rPr>
      </w:pPr>
      <w:r>
        <w:rPr>
          <w:rFonts w:hint="eastAsia" w:ascii="仿宋_GB2312" w:hAnsi="仿宋_GB2312" w:cs="仿宋_GB2312"/>
          <w:b/>
          <w:bCs w:val="0"/>
          <w:color w:val="auto"/>
          <w:szCs w:val="32"/>
          <w:lang w:val="en-US" w:eastAsia="zh-CN" w:bidi="ar"/>
        </w:rPr>
        <w:t>2024年部门整体支出（单位：万元）</w:t>
      </w:r>
    </w:p>
    <w:tbl>
      <w:tblPr>
        <w:tblStyle w:val="7"/>
        <w:tblW w:w="88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4"/>
        <w:gridCol w:w="2029"/>
        <w:gridCol w:w="1826"/>
        <w:gridCol w:w="1694"/>
      </w:tblGrid>
      <w:tr w14:paraId="5CE8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61D4B71C">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项目（按支出性质和经济分类）</w:t>
            </w:r>
          </w:p>
        </w:tc>
        <w:tc>
          <w:tcPr>
            <w:tcW w:w="2029" w:type="dxa"/>
          </w:tcPr>
          <w:p w14:paraId="5B33C866">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预算数</w:t>
            </w:r>
          </w:p>
        </w:tc>
        <w:tc>
          <w:tcPr>
            <w:tcW w:w="1826" w:type="dxa"/>
          </w:tcPr>
          <w:p w14:paraId="65751A25">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决算数</w:t>
            </w:r>
          </w:p>
        </w:tc>
        <w:tc>
          <w:tcPr>
            <w:tcW w:w="1694" w:type="dxa"/>
          </w:tcPr>
          <w:p w14:paraId="4B3D9545">
            <w:pPr>
              <w:rPr>
                <w:rFonts w:hint="default" w:ascii="仿宋_GB2312" w:hAnsi="仿宋_GB2312" w:cs="仿宋_GB2312"/>
                <w:bCs/>
                <w:color w:val="auto"/>
                <w:sz w:val="21"/>
                <w:szCs w:val="21"/>
                <w:vertAlign w:val="baseline"/>
                <w:lang w:val="en-US" w:eastAsia="zh-CN" w:bidi="ar"/>
              </w:rPr>
            </w:pPr>
            <w:r>
              <w:rPr>
                <w:rFonts w:hint="default" w:ascii="仿宋_GB2312" w:hAnsi="仿宋_GB2312" w:cs="仿宋_GB2312"/>
                <w:bCs/>
                <w:color w:val="auto"/>
                <w:sz w:val="21"/>
                <w:szCs w:val="21"/>
                <w:vertAlign w:val="baseline"/>
                <w:lang w:val="en-US" w:eastAsia="zh-CN" w:bidi="ar"/>
              </w:rPr>
              <w:t>预算控制率（%）</w:t>
            </w:r>
          </w:p>
        </w:tc>
      </w:tr>
      <w:tr w14:paraId="3D8E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30422621">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一、基本支出</w:t>
            </w:r>
          </w:p>
        </w:tc>
        <w:tc>
          <w:tcPr>
            <w:tcW w:w="2029" w:type="dxa"/>
            <w:vAlign w:val="center"/>
          </w:tcPr>
          <w:p w14:paraId="5F842855">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113.85</w:t>
            </w:r>
          </w:p>
        </w:tc>
        <w:tc>
          <w:tcPr>
            <w:tcW w:w="1826" w:type="dxa"/>
            <w:vAlign w:val="center"/>
          </w:tcPr>
          <w:p w14:paraId="75043F87">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113.85</w:t>
            </w:r>
          </w:p>
        </w:tc>
        <w:tc>
          <w:tcPr>
            <w:tcW w:w="1694" w:type="dxa"/>
            <w:vAlign w:val="center"/>
          </w:tcPr>
          <w:p w14:paraId="6B39844C">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100%</w:t>
            </w:r>
          </w:p>
        </w:tc>
      </w:tr>
      <w:tr w14:paraId="3D1D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08A7CB59">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人员经费</w:t>
            </w:r>
          </w:p>
        </w:tc>
        <w:tc>
          <w:tcPr>
            <w:tcW w:w="2029" w:type="dxa"/>
            <w:vAlign w:val="center"/>
          </w:tcPr>
          <w:p w14:paraId="1BA7C926">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103.02</w:t>
            </w:r>
          </w:p>
        </w:tc>
        <w:tc>
          <w:tcPr>
            <w:tcW w:w="1826" w:type="dxa"/>
            <w:vAlign w:val="center"/>
          </w:tcPr>
          <w:p w14:paraId="4ABE6E46">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103.02</w:t>
            </w:r>
          </w:p>
        </w:tc>
        <w:tc>
          <w:tcPr>
            <w:tcW w:w="1694" w:type="dxa"/>
            <w:vAlign w:val="center"/>
          </w:tcPr>
          <w:p w14:paraId="166E6D14">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100%</w:t>
            </w:r>
          </w:p>
        </w:tc>
      </w:tr>
      <w:tr w14:paraId="3AA9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0AD4551B">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公用经费</w:t>
            </w:r>
          </w:p>
        </w:tc>
        <w:tc>
          <w:tcPr>
            <w:tcW w:w="2029" w:type="dxa"/>
            <w:vAlign w:val="center"/>
          </w:tcPr>
          <w:p w14:paraId="1B741EA1">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10.83</w:t>
            </w:r>
          </w:p>
        </w:tc>
        <w:tc>
          <w:tcPr>
            <w:tcW w:w="1826" w:type="dxa"/>
            <w:vAlign w:val="center"/>
          </w:tcPr>
          <w:p w14:paraId="7194B623">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10.83</w:t>
            </w:r>
          </w:p>
        </w:tc>
        <w:tc>
          <w:tcPr>
            <w:tcW w:w="1694" w:type="dxa"/>
            <w:vAlign w:val="center"/>
          </w:tcPr>
          <w:p w14:paraId="74E97F9A">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100%</w:t>
            </w:r>
          </w:p>
        </w:tc>
      </w:tr>
      <w:tr w14:paraId="3CD8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0883E4E5">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二、项目支出</w:t>
            </w:r>
          </w:p>
        </w:tc>
        <w:tc>
          <w:tcPr>
            <w:tcW w:w="2029" w:type="dxa"/>
          </w:tcPr>
          <w:p w14:paraId="4EB9713D">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868.16</w:t>
            </w:r>
          </w:p>
        </w:tc>
        <w:tc>
          <w:tcPr>
            <w:tcW w:w="1826" w:type="dxa"/>
            <w:vAlign w:val="top"/>
          </w:tcPr>
          <w:p w14:paraId="3477517B">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868.16</w:t>
            </w:r>
          </w:p>
        </w:tc>
        <w:tc>
          <w:tcPr>
            <w:tcW w:w="1694" w:type="dxa"/>
            <w:vAlign w:val="top"/>
          </w:tcPr>
          <w:p w14:paraId="3386E64F">
            <w:pPr>
              <w:rPr>
                <w:rFonts w:hint="default" w:ascii="仿宋_GB2312" w:hAnsi="仿宋_GB2312" w:eastAsia="仿宋_GB2312" w:cs="仿宋_GB2312"/>
                <w:bCs/>
                <w:color w:val="auto"/>
                <w:kern w:val="2"/>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100%</w:t>
            </w:r>
          </w:p>
        </w:tc>
      </w:tr>
      <w:tr w14:paraId="7905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5516F844">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其中：基本建设类项目</w:t>
            </w:r>
          </w:p>
        </w:tc>
        <w:tc>
          <w:tcPr>
            <w:tcW w:w="2029" w:type="dxa"/>
          </w:tcPr>
          <w:p w14:paraId="280BDC84">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826" w:type="dxa"/>
          </w:tcPr>
          <w:p w14:paraId="45A1D146">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694" w:type="dxa"/>
          </w:tcPr>
          <w:p w14:paraId="5E45079F">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r>
      <w:tr w14:paraId="6BFD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13B864FC">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三、上缴上级支出</w:t>
            </w:r>
          </w:p>
        </w:tc>
        <w:tc>
          <w:tcPr>
            <w:tcW w:w="2029" w:type="dxa"/>
          </w:tcPr>
          <w:p w14:paraId="0ADCA944">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826" w:type="dxa"/>
          </w:tcPr>
          <w:p w14:paraId="197C6F09">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694" w:type="dxa"/>
          </w:tcPr>
          <w:p w14:paraId="39C31200">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r>
      <w:tr w14:paraId="7E9D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20595479">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四、经营支出</w:t>
            </w:r>
          </w:p>
        </w:tc>
        <w:tc>
          <w:tcPr>
            <w:tcW w:w="2029" w:type="dxa"/>
          </w:tcPr>
          <w:p w14:paraId="2B2FF0C0">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826" w:type="dxa"/>
          </w:tcPr>
          <w:p w14:paraId="56D429F8">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694" w:type="dxa"/>
          </w:tcPr>
          <w:p w14:paraId="78E05D40">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r>
      <w:tr w14:paraId="5623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264C3469">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五、对附属单位补助支出</w:t>
            </w:r>
          </w:p>
        </w:tc>
        <w:tc>
          <w:tcPr>
            <w:tcW w:w="2029" w:type="dxa"/>
          </w:tcPr>
          <w:p w14:paraId="29B7D05E">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826" w:type="dxa"/>
          </w:tcPr>
          <w:p w14:paraId="61C4B192">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694" w:type="dxa"/>
          </w:tcPr>
          <w:p w14:paraId="75766F14">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r>
      <w:tr w14:paraId="5B13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0C22B7C4">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
                <w:bCs w:val="0"/>
                <w:color w:val="auto"/>
                <w:sz w:val="24"/>
                <w:szCs w:val="24"/>
                <w:vertAlign w:val="baseline"/>
                <w:lang w:val="en-US" w:eastAsia="zh-CN" w:bidi="ar"/>
              </w:rPr>
              <w:t>经济分类支出合计</w:t>
            </w:r>
          </w:p>
        </w:tc>
        <w:tc>
          <w:tcPr>
            <w:tcW w:w="2029" w:type="dxa"/>
          </w:tcPr>
          <w:p w14:paraId="50B22314">
            <w:pPr>
              <w:rPr>
                <w:rFonts w:hint="default" w:ascii="仿宋_GB2312" w:hAnsi="仿宋_GB2312" w:cs="仿宋_GB2312"/>
                <w:bCs/>
                <w:color w:val="auto"/>
                <w:sz w:val="21"/>
                <w:szCs w:val="21"/>
                <w:vertAlign w:val="baseline"/>
                <w:lang w:val="en-US" w:eastAsia="zh-CN" w:bidi="ar"/>
              </w:rPr>
            </w:pPr>
          </w:p>
        </w:tc>
        <w:tc>
          <w:tcPr>
            <w:tcW w:w="1826" w:type="dxa"/>
          </w:tcPr>
          <w:p w14:paraId="7283A251">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982.01</w:t>
            </w:r>
          </w:p>
        </w:tc>
        <w:tc>
          <w:tcPr>
            <w:tcW w:w="1694" w:type="dxa"/>
          </w:tcPr>
          <w:p w14:paraId="0BD5271A">
            <w:pPr>
              <w:rPr>
                <w:rFonts w:hint="default" w:ascii="仿宋_GB2312" w:hAnsi="仿宋_GB2312" w:cs="仿宋_GB2312"/>
                <w:bCs/>
                <w:color w:val="auto"/>
                <w:sz w:val="21"/>
                <w:szCs w:val="21"/>
                <w:vertAlign w:val="baseline"/>
                <w:lang w:val="en-US" w:eastAsia="zh-CN" w:bidi="ar"/>
              </w:rPr>
            </w:pPr>
          </w:p>
        </w:tc>
      </w:tr>
      <w:tr w14:paraId="641F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049C3B83">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一、工资福利支出</w:t>
            </w:r>
          </w:p>
        </w:tc>
        <w:tc>
          <w:tcPr>
            <w:tcW w:w="2029" w:type="dxa"/>
          </w:tcPr>
          <w:p w14:paraId="7A68DDFB">
            <w:pPr>
              <w:rPr>
                <w:rFonts w:hint="default" w:ascii="仿宋_GB2312" w:hAnsi="仿宋_GB2312" w:cs="仿宋_GB2312"/>
                <w:bCs/>
                <w:color w:val="auto"/>
                <w:sz w:val="21"/>
                <w:szCs w:val="21"/>
                <w:vertAlign w:val="baseline"/>
                <w:lang w:val="en-US" w:eastAsia="zh-CN" w:bidi="ar"/>
              </w:rPr>
            </w:pPr>
          </w:p>
        </w:tc>
        <w:tc>
          <w:tcPr>
            <w:tcW w:w="1826" w:type="dxa"/>
          </w:tcPr>
          <w:p w14:paraId="4228E9BF">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103.02</w:t>
            </w:r>
          </w:p>
        </w:tc>
        <w:tc>
          <w:tcPr>
            <w:tcW w:w="1694" w:type="dxa"/>
          </w:tcPr>
          <w:p w14:paraId="51797812">
            <w:pPr>
              <w:rPr>
                <w:rFonts w:hint="default" w:ascii="仿宋_GB2312" w:hAnsi="仿宋_GB2312" w:cs="仿宋_GB2312"/>
                <w:bCs/>
                <w:color w:val="auto"/>
                <w:sz w:val="21"/>
                <w:szCs w:val="21"/>
                <w:vertAlign w:val="baseline"/>
                <w:lang w:val="en-US" w:eastAsia="zh-CN" w:bidi="ar"/>
              </w:rPr>
            </w:pPr>
          </w:p>
        </w:tc>
      </w:tr>
      <w:tr w14:paraId="4D46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6BF9E18E">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二、商品和服务支出</w:t>
            </w:r>
          </w:p>
        </w:tc>
        <w:tc>
          <w:tcPr>
            <w:tcW w:w="2029" w:type="dxa"/>
          </w:tcPr>
          <w:p w14:paraId="31834587">
            <w:pPr>
              <w:rPr>
                <w:rFonts w:hint="default" w:ascii="仿宋_GB2312" w:hAnsi="仿宋_GB2312" w:cs="仿宋_GB2312"/>
                <w:bCs/>
                <w:color w:val="auto"/>
                <w:sz w:val="21"/>
                <w:szCs w:val="21"/>
                <w:vertAlign w:val="baseline"/>
                <w:lang w:val="en-US" w:eastAsia="zh-CN" w:bidi="ar"/>
              </w:rPr>
            </w:pPr>
          </w:p>
        </w:tc>
        <w:tc>
          <w:tcPr>
            <w:tcW w:w="1826" w:type="dxa"/>
          </w:tcPr>
          <w:p w14:paraId="3632A704">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437.76</w:t>
            </w:r>
          </w:p>
        </w:tc>
        <w:tc>
          <w:tcPr>
            <w:tcW w:w="1694" w:type="dxa"/>
          </w:tcPr>
          <w:p w14:paraId="3CF0DC91">
            <w:pPr>
              <w:rPr>
                <w:rFonts w:hint="default" w:ascii="仿宋_GB2312" w:hAnsi="仿宋_GB2312" w:cs="仿宋_GB2312"/>
                <w:bCs/>
                <w:color w:val="auto"/>
                <w:sz w:val="21"/>
                <w:szCs w:val="21"/>
                <w:vertAlign w:val="baseline"/>
                <w:lang w:val="en-US" w:eastAsia="zh-CN" w:bidi="ar"/>
              </w:rPr>
            </w:pPr>
          </w:p>
        </w:tc>
      </w:tr>
      <w:tr w14:paraId="2EC4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4CB2B891">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三、对个人和家庭的补助</w:t>
            </w:r>
          </w:p>
        </w:tc>
        <w:tc>
          <w:tcPr>
            <w:tcW w:w="2029" w:type="dxa"/>
          </w:tcPr>
          <w:p w14:paraId="5A6DF2C0">
            <w:pPr>
              <w:rPr>
                <w:rFonts w:hint="default" w:ascii="仿宋_GB2312" w:hAnsi="仿宋_GB2312" w:cs="仿宋_GB2312"/>
                <w:bCs/>
                <w:color w:val="auto"/>
                <w:sz w:val="21"/>
                <w:szCs w:val="21"/>
                <w:vertAlign w:val="baseline"/>
                <w:lang w:val="en-US" w:eastAsia="zh-CN" w:bidi="ar"/>
              </w:rPr>
            </w:pPr>
          </w:p>
        </w:tc>
        <w:tc>
          <w:tcPr>
            <w:tcW w:w="1826" w:type="dxa"/>
          </w:tcPr>
          <w:p w14:paraId="210EE043">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694" w:type="dxa"/>
          </w:tcPr>
          <w:p w14:paraId="278110BD">
            <w:pPr>
              <w:rPr>
                <w:rFonts w:hint="default" w:ascii="仿宋_GB2312" w:hAnsi="仿宋_GB2312" w:cs="仿宋_GB2312"/>
                <w:bCs/>
                <w:color w:val="auto"/>
                <w:sz w:val="21"/>
                <w:szCs w:val="21"/>
                <w:vertAlign w:val="baseline"/>
                <w:lang w:val="en-US" w:eastAsia="zh-CN" w:bidi="ar"/>
              </w:rPr>
            </w:pPr>
          </w:p>
        </w:tc>
      </w:tr>
      <w:tr w14:paraId="39EE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4D64B123">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四、债务利息及费用支出</w:t>
            </w:r>
          </w:p>
        </w:tc>
        <w:tc>
          <w:tcPr>
            <w:tcW w:w="2029" w:type="dxa"/>
          </w:tcPr>
          <w:p w14:paraId="3EF73A4D">
            <w:pPr>
              <w:rPr>
                <w:rFonts w:hint="default" w:ascii="仿宋_GB2312" w:hAnsi="仿宋_GB2312" w:cs="仿宋_GB2312"/>
                <w:bCs/>
                <w:color w:val="auto"/>
                <w:sz w:val="21"/>
                <w:szCs w:val="21"/>
                <w:vertAlign w:val="baseline"/>
                <w:lang w:val="en-US" w:eastAsia="zh-CN" w:bidi="ar"/>
              </w:rPr>
            </w:pPr>
          </w:p>
        </w:tc>
        <w:tc>
          <w:tcPr>
            <w:tcW w:w="1826" w:type="dxa"/>
          </w:tcPr>
          <w:p w14:paraId="04646797">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694" w:type="dxa"/>
          </w:tcPr>
          <w:p w14:paraId="264D33EC">
            <w:pPr>
              <w:rPr>
                <w:rFonts w:hint="default" w:ascii="仿宋_GB2312" w:hAnsi="仿宋_GB2312" w:cs="仿宋_GB2312"/>
                <w:bCs/>
                <w:color w:val="auto"/>
                <w:sz w:val="21"/>
                <w:szCs w:val="21"/>
                <w:vertAlign w:val="baseline"/>
                <w:lang w:val="en-US" w:eastAsia="zh-CN" w:bidi="ar"/>
              </w:rPr>
            </w:pPr>
          </w:p>
        </w:tc>
      </w:tr>
      <w:tr w14:paraId="749E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29EB5109">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五、资本性支出（基本建设）</w:t>
            </w:r>
          </w:p>
        </w:tc>
        <w:tc>
          <w:tcPr>
            <w:tcW w:w="2029" w:type="dxa"/>
          </w:tcPr>
          <w:p w14:paraId="2D258C34">
            <w:pPr>
              <w:rPr>
                <w:rFonts w:hint="default" w:ascii="仿宋_GB2312" w:hAnsi="仿宋_GB2312" w:cs="仿宋_GB2312"/>
                <w:bCs/>
                <w:color w:val="auto"/>
                <w:sz w:val="21"/>
                <w:szCs w:val="21"/>
                <w:vertAlign w:val="baseline"/>
                <w:lang w:val="en-US" w:eastAsia="zh-CN" w:bidi="ar"/>
              </w:rPr>
            </w:pPr>
          </w:p>
        </w:tc>
        <w:tc>
          <w:tcPr>
            <w:tcW w:w="1826" w:type="dxa"/>
          </w:tcPr>
          <w:p w14:paraId="554D0247">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694" w:type="dxa"/>
          </w:tcPr>
          <w:p w14:paraId="55F8BF17">
            <w:pPr>
              <w:rPr>
                <w:rFonts w:hint="default" w:ascii="仿宋_GB2312" w:hAnsi="仿宋_GB2312" w:cs="仿宋_GB2312"/>
                <w:bCs/>
                <w:color w:val="auto"/>
                <w:sz w:val="21"/>
                <w:szCs w:val="21"/>
                <w:vertAlign w:val="baseline"/>
                <w:lang w:val="en-US" w:eastAsia="zh-CN" w:bidi="ar"/>
              </w:rPr>
            </w:pPr>
          </w:p>
        </w:tc>
      </w:tr>
      <w:tr w14:paraId="135A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56599519">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六、资本性支出</w:t>
            </w:r>
          </w:p>
        </w:tc>
        <w:tc>
          <w:tcPr>
            <w:tcW w:w="2029" w:type="dxa"/>
          </w:tcPr>
          <w:p w14:paraId="358BCDA6">
            <w:pPr>
              <w:rPr>
                <w:rFonts w:hint="default" w:ascii="仿宋_GB2312" w:hAnsi="仿宋_GB2312" w:cs="仿宋_GB2312"/>
                <w:bCs/>
                <w:color w:val="auto"/>
                <w:sz w:val="21"/>
                <w:szCs w:val="21"/>
                <w:vertAlign w:val="baseline"/>
                <w:lang w:val="en-US" w:eastAsia="zh-CN" w:bidi="ar"/>
              </w:rPr>
            </w:pPr>
          </w:p>
        </w:tc>
        <w:tc>
          <w:tcPr>
            <w:tcW w:w="1826" w:type="dxa"/>
          </w:tcPr>
          <w:p w14:paraId="7FF5DD7A">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694" w:type="dxa"/>
          </w:tcPr>
          <w:p w14:paraId="748AC98D">
            <w:pPr>
              <w:rPr>
                <w:rFonts w:hint="default" w:ascii="仿宋_GB2312" w:hAnsi="仿宋_GB2312" w:cs="仿宋_GB2312"/>
                <w:bCs/>
                <w:color w:val="auto"/>
                <w:sz w:val="21"/>
                <w:szCs w:val="21"/>
                <w:vertAlign w:val="baseline"/>
                <w:lang w:val="en-US" w:eastAsia="zh-CN" w:bidi="ar"/>
              </w:rPr>
            </w:pPr>
          </w:p>
        </w:tc>
      </w:tr>
      <w:tr w14:paraId="2B96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68DC5F68">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七、对企业补助（基本建设）</w:t>
            </w:r>
          </w:p>
        </w:tc>
        <w:tc>
          <w:tcPr>
            <w:tcW w:w="2029" w:type="dxa"/>
          </w:tcPr>
          <w:p w14:paraId="44DA1C27">
            <w:pPr>
              <w:rPr>
                <w:rFonts w:hint="default" w:ascii="仿宋_GB2312" w:hAnsi="仿宋_GB2312" w:cs="仿宋_GB2312"/>
                <w:bCs/>
                <w:color w:val="auto"/>
                <w:sz w:val="21"/>
                <w:szCs w:val="21"/>
                <w:vertAlign w:val="baseline"/>
                <w:lang w:val="en-US" w:eastAsia="zh-CN" w:bidi="ar"/>
              </w:rPr>
            </w:pPr>
          </w:p>
        </w:tc>
        <w:tc>
          <w:tcPr>
            <w:tcW w:w="1826" w:type="dxa"/>
          </w:tcPr>
          <w:p w14:paraId="653758A6">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694" w:type="dxa"/>
          </w:tcPr>
          <w:p w14:paraId="40DA517D">
            <w:pPr>
              <w:rPr>
                <w:rFonts w:hint="default" w:ascii="仿宋_GB2312" w:hAnsi="仿宋_GB2312" w:cs="仿宋_GB2312"/>
                <w:bCs/>
                <w:color w:val="auto"/>
                <w:sz w:val="21"/>
                <w:szCs w:val="21"/>
                <w:vertAlign w:val="baseline"/>
                <w:lang w:val="en-US" w:eastAsia="zh-CN" w:bidi="ar"/>
              </w:rPr>
            </w:pPr>
          </w:p>
        </w:tc>
      </w:tr>
      <w:tr w14:paraId="02F4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12EE0CE6">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八、对企业补助</w:t>
            </w:r>
          </w:p>
        </w:tc>
        <w:tc>
          <w:tcPr>
            <w:tcW w:w="2029" w:type="dxa"/>
          </w:tcPr>
          <w:p w14:paraId="1D5EA755">
            <w:pPr>
              <w:rPr>
                <w:rFonts w:hint="default" w:ascii="仿宋_GB2312" w:hAnsi="仿宋_GB2312" w:cs="仿宋_GB2312"/>
                <w:bCs/>
                <w:color w:val="auto"/>
                <w:sz w:val="21"/>
                <w:szCs w:val="21"/>
                <w:vertAlign w:val="baseline"/>
                <w:lang w:val="en-US" w:eastAsia="zh-CN" w:bidi="ar"/>
              </w:rPr>
            </w:pPr>
          </w:p>
        </w:tc>
        <w:tc>
          <w:tcPr>
            <w:tcW w:w="1826" w:type="dxa"/>
          </w:tcPr>
          <w:p w14:paraId="2858A0A8">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441.23</w:t>
            </w:r>
          </w:p>
        </w:tc>
        <w:tc>
          <w:tcPr>
            <w:tcW w:w="1694" w:type="dxa"/>
          </w:tcPr>
          <w:p w14:paraId="3F1BE37D">
            <w:pPr>
              <w:rPr>
                <w:rFonts w:hint="default" w:ascii="仿宋_GB2312" w:hAnsi="仿宋_GB2312" w:cs="仿宋_GB2312"/>
                <w:bCs/>
                <w:color w:val="auto"/>
                <w:sz w:val="21"/>
                <w:szCs w:val="21"/>
                <w:vertAlign w:val="baseline"/>
                <w:lang w:val="en-US" w:eastAsia="zh-CN" w:bidi="ar"/>
              </w:rPr>
            </w:pPr>
          </w:p>
        </w:tc>
      </w:tr>
      <w:tr w14:paraId="027E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6EE9723E">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九、对社会保障基金补助</w:t>
            </w:r>
          </w:p>
        </w:tc>
        <w:tc>
          <w:tcPr>
            <w:tcW w:w="2029" w:type="dxa"/>
          </w:tcPr>
          <w:p w14:paraId="37B2C4B0">
            <w:pPr>
              <w:rPr>
                <w:rFonts w:hint="default" w:ascii="仿宋_GB2312" w:hAnsi="仿宋_GB2312" w:cs="仿宋_GB2312"/>
                <w:bCs/>
                <w:color w:val="auto"/>
                <w:sz w:val="21"/>
                <w:szCs w:val="21"/>
                <w:vertAlign w:val="baseline"/>
                <w:lang w:val="en-US" w:eastAsia="zh-CN" w:bidi="ar"/>
              </w:rPr>
            </w:pPr>
          </w:p>
        </w:tc>
        <w:tc>
          <w:tcPr>
            <w:tcW w:w="1826" w:type="dxa"/>
          </w:tcPr>
          <w:p w14:paraId="5E6B6403">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694" w:type="dxa"/>
          </w:tcPr>
          <w:p w14:paraId="62226A05">
            <w:pPr>
              <w:rPr>
                <w:rFonts w:hint="default" w:ascii="仿宋_GB2312" w:hAnsi="仿宋_GB2312" w:cs="仿宋_GB2312"/>
                <w:bCs/>
                <w:color w:val="auto"/>
                <w:sz w:val="21"/>
                <w:szCs w:val="21"/>
                <w:vertAlign w:val="baseline"/>
                <w:lang w:val="en-US" w:eastAsia="zh-CN" w:bidi="ar"/>
              </w:rPr>
            </w:pPr>
          </w:p>
        </w:tc>
      </w:tr>
      <w:tr w14:paraId="5030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3B612A81">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十、其他支出</w:t>
            </w:r>
          </w:p>
        </w:tc>
        <w:tc>
          <w:tcPr>
            <w:tcW w:w="2029" w:type="dxa"/>
          </w:tcPr>
          <w:p w14:paraId="20B9F57C">
            <w:pPr>
              <w:rPr>
                <w:rFonts w:hint="default" w:ascii="仿宋_GB2312" w:hAnsi="仿宋_GB2312" w:cs="仿宋_GB2312"/>
                <w:bCs/>
                <w:color w:val="auto"/>
                <w:sz w:val="21"/>
                <w:szCs w:val="21"/>
                <w:vertAlign w:val="baseline"/>
                <w:lang w:val="en-US" w:eastAsia="zh-CN" w:bidi="ar"/>
              </w:rPr>
            </w:pPr>
          </w:p>
        </w:tc>
        <w:tc>
          <w:tcPr>
            <w:tcW w:w="1826" w:type="dxa"/>
          </w:tcPr>
          <w:p w14:paraId="74E3D3EA">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0</w:t>
            </w:r>
          </w:p>
        </w:tc>
        <w:tc>
          <w:tcPr>
            <w:tcW w:w="1694" w:type="dxa"/>
          </w:tcPr>
          <w:p w14:paraId="0F45130D">
            <w:pPr>
              <w:rPr>
                <w:rFonts w:hint="default" w:ascii="仿宋_GB2312" w:hAnsi="仿宋_GB2312" w:cs="仿宋_GB2312"/>
                <w:bCs/>
                <w:color w:val="auto"/>
                <w:sz w:val="21"/>
                <w:szCs w:val="21"/>
                <w:vertAlign w:val="baseline"/>
                <w:lang w:val="en-US" w:eastAsia="zh-CN" w:bidi="ar"/>
              </w:rPr>
            </w:pPr>
          </w:p>
        </w:tc>
      </w:tr>
      <w:tr w14:paraId="36BA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005C345C">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本年支出合计</w:t>
            </w:r>
          </w:p>
        </w:tc>
        <w:tc>
          <w:tcPr>
            <w:tcW w:w="2029" w:type="dxa"/>
          </w:tcPr>
          <w:p w14:paraId="256F7FCF">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982.01</w:t>
            </w:r>
          </w:p>
        </w:tc>
        <w:tc>
          <w:tcPr>
            <w:tcW w:w="1826" w:type="dxa"/>
          </w:tcPr>
          <w:p w14:paraId="28D3824D">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982.01</w:t>
            </w:r>
          </w:p>
        </w:tc>
        <w:tc>
          <w:tcPr>
            <w:tcW w:w="1694" w:type="dxa"/>
          </w:tcPr>
          <w:p w14:paraId="3CDBCCC9">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100%</w:t>
            </w:r>
          </w:p>
        </w:tc>
      </w:tr>
      <w:tr w14:paraId="0DCC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5687B075">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年末结转和结余</w:t>
            </w:r>
          </w:p>
        </w:tc>
        <w:tc>
          <w:tcPr>
            <w:tcW w:w="2029" w:type="dxa"/>
          </w:tcPr>
          <w:p w14:paraId="0BB69F63">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34.35</w:t>
            </w:r>
          </w:p>
        </w:tc>
        <w:tc>
          <w:tcPr>
            <w:tcW w:w="1826" w:type="dxa"/>
          </w:tcPr>
          <w:p w14:paraId="3E1C942B">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34.35</w:t>
            </w:r>
          </w:p>
        </w:tc>
        <w:tc>
          <w:tcPr>
            <w:tcW w:w="1694" w:type="dxa"/>
          </w:tcPr>
          <w:p w14:paraId="7551DA3B">
            <w:pPr>
              <w:rPr>
                <w:rFonts w:hint="default" w:ascii="仿宋_GB2312" w:hAnsi="仿宋_GB2312" w:cs="仿宋_GB2312"/>
                <w:bCs/>
                <w:color w:val="auto"/>
                <w:sz w:val="21"/>
                <w:szCs w:val="21"/>
                <w:vertAlign w:val="baseline"/>
                <w:lang w:val="en-US" w:eastAsia="zh-CN" w:bidi="ar"/>
              </w:rPr>
            </w:pPr>
          </w:p>
        </w:tc>
      </w:tr>
      <w:tr w14:paraId="2EDF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1E983B62">
            <w:pPr>
              <w:rPr>
                <w:rFonts w:hint="eastAsia"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总计</w:t>
            </w:r>
          </w:p>
        </w:tc>
        <w:tc>
          <w:tcPr>
            <w:tcW w:w="2029" w:type="dxa"/>
            <w:vAlign w:val="top"/>
          </w:tcPr>
          <w:p w14:paraId="2190B223">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2384.89</w:t>
            </w:r>
          </w:p>
        </w:tc>
        <w:tc>
          <w:tcPr>
            <w:tcW w:w="1826" w:type="dxa"/>
            <w:vAlign w:val="top"/>
          </w:tcPr>
          <w:p w14:paraId="087CD2EB">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8491.01</w:t>
            </w:r>
          </w:p>
        </w:tc>
        <w:tc>
          <w:tcPr>
            <w:tcW w:w="1694" w:type="dxa"/>
            <w:vAlign w:val="top"/>
          </w:tcPr>
          <w:p w14:paraId="74956995">
            <w:pPr>
              <w:rPr>
                <w:rFonts w:hint="default" w:ascii="仿宋_GB2312" w:hAnsi="仿宋_GB2312" w:cs="仿宋_GB2312"/>
                <w:bCs/>
                <w:color w:val="auto"/>
                <w:sz w:val="21"/>
                <w:szCs w:val="21"/>
                <w:vertAlign w:val="baseline"/>
                <w:lang w:val="en-US" w:eastAsia="zh-CN" w:bidi="ar"/>
              </w:rPr>
            </w:pPr>
            <w:r>
              <w:rPr>
                <w:rFonts w:hint="eastAsia" w:ascii="仿宋_GB2312" w:hAnsi="仿宋_GB2312" w:cs="仿宋_GB2312"/>
                <w:bCs/>
                <w:color w:val="auto"/>
                <w:sz w:val="21"/>
                <w:szCs w:val="21"/>
                <w:vertAlign w:val="baseline"/>
                <w:lang w:val="en-US" w:eastAsia="zh-CN" w:bidi="ar"/>
              </w:rPr>
              <w:t>8491.01</w:t>
            </w:r>
          </w:p>
        </w:tc>
      </w:tr>
    </w:tbl>
    <w:p w14:paraId="21F6CD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cs="仿宋_GB2312"/>
          <w:bCs/>
          <w:color w:val="auto"/>
          <w:szCs w:val="32"/>
          <w:lang w:val="en-US" w:eastAsia="zh-CN" w:bidi="ar"/>
        </w:rPr>
      </w:pPr>
      <w:r>
        <w:rPr>
          <w:rFonts w:hint="eastAsia" w:ascii="仿宋_GB2312" w:hAnsi="仿宋_GB2312" w:cs="仿宋_GB2312"/>
          <w:bCs/>
          <w:color w:val="auto"/>
          <w:szCs w:val="32"/>
          <w:lang w:val="en-US" w:eastAsia="zh-CN" w:bidi="ar"/>
        </w:rPr>
        <w:t>3.三公经费经费支出</w:t>
      </w:r>
    </w:p>
    <w:p w14:paraId="11606371">
      <w:pPr>
        <w:pStyle w:val="12"/>
        <w:rPr>
          <w:rFonts w:ascii="仿宋_GB2312" w:hAnsi="仿宋_GB2312" w:cs="仿宋_GB2312"/>
          <w:bCs/>
          <w:color w:val="auto"/>
          <w:szCs w:val="32"/>
          <w:lang w:bidi="ar"/>
        </w:rPr>
      </w:pPr>
      <w:r>
        <w:rPr>
          <w:rFonts w:hint="eastAsia" w:ascii="仿宋_GB2312" w:hAnsi="仿宋_GB2312" w:eastAsia="仿宋_GB2312" w:cs="仿宋_GB2312"/>
          <w:bCs/>
          <w:color w:val="auto"/>
          <w:kern w:val="2"/>
          <w:sz w:val="32"/>
          <w:szCs w:val="32"/>
          <w:lang w:val="en-US" w:eastAsia="zh-CN" w:bidi="ar"/>
        </w:rPr>
        <w:t>2024年三公经费决算合计支出12.48万元，较2023年增加12.48万元。</w:t>
      </w:r>
    </w:p>
    <w:p w14:paraId="0544A030">
      <w:pPr>
        <w:ind w:firstLine="520"/>
        <w:rPr>
          <w:b/>
          <w:color w:val="auto"/>
        </w:rPr>
      </w:pPr>
      <w:r>
        <w:rPr>
          <w:rFonts w:hint="eastAsia"/>
          <w:b/>
          <w:color w:val="auto"/>
        </w:rPr>
        <w:t>（四）部门整体支出绩效目标。</w:t>
      </w:r>
    </w:p>
    <w:tbl>
      <w:tblPr>
        <w:tblStyle w:val="6"/>
        <w:tblW w:w="91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4"/>
        <w:gridCol w:w="3425"/>
        <w:gridCol w:w="4712"/>
      </w:tblGrid>
      <w:tr w14:paraId="513D8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35D0">
            <w:pPr>
              <w:keepNext w:val="0"/>
              <w:keepLines w:val="0"/>
              <w:widowControl/>
              <w:suppressLineNumbers w:val="0"/>
              <w:jc w:val="center"/>
              <w:textAlignment w:val="center"/>
              <w:rPr>
                <w:rFonts w:hint="default"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序号</w:t>
            </w: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2FA3">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color w:val="auto"/>
                <w:kern w:val="0"/>
                <w:sz w:val="22"/>
                <w:szCs w:val="22"/>
                <w:u w:val="none"/>
                <w:lang w:val="en-US" w:eastAsia="zh-CN" w:bidi="ar"/>
              </w:rPr>
              <w:t>绩效目标</w:t>
            </w:r>
          </w:p>
        </w:tc>
        <w:tc>
          <w:tcPr>
            <w:tcW w:w="4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E0F51">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color w:val="auto"/>
                <w:kern w:val="0"/>
                <w:sz w:val="28"/>
                <w:szCs w:val="28"/>
                <w:u w:val="none"/>
                <w:lang w:val="en-US" w:eastAsia="zh-CN" w:bidi="ar"/>
              </w:rPr>
              <w:t>目标值</w:t>
            </w:r>
          </w:p>
        </w:tc>
      </w:tr>
      <w:tr w14:paraId="6C70C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8"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E26F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w:t>
            </w: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DF38">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推动企业纳统</w:t>
            </w:r>
          </w:p>
        </w:tc>
        <w:tc>
          <w:tcPr>
            <w:tcW w:w="4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A5D6">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做好限上企业数据核准工作和做好线下企业升规纳统工作</w:t>
            </w:r>
          </w:p>
        </w:tc>
      </w:tr>
      <w:tr w14:paraId="4B996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86B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w:t>
            </w: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BA58">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实施县域商业建设行动示范县工作</w:t>
            </w:r>
          </w:p>
        </w:tc>
        <w:tc>
          <w:tcPr>
            <w:tcW w:w="4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E585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举办广东省县域商业建设助力“百千万工程”现场会暨阳江市“漠阳品·幸福购”暑期促消费活动</w:t>
            </w:r>
          </w:p>
        </w:tc>
      </w:tr>
      <w:tr w14:paraId="46CD1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DEF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w:t>
            </w: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CD7F">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扩大商贸领域消费</w:t>
            </w:r>
          </w:p>
        </w:tc>
        <w:tc>
          <w:tcPr>
            <w:tcW w:w="4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881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持续推进促消费工作，推动电商发展，激活市场活力</w:t>
            </w:r>
          </w:p>
        </w:tc>
      </w:tr>
      <w:tr w14:paraId="545C2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924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w:t>
            </w: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EE7A1">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打造当地特色“老字号”</w:t>
            </w:r>
          </w:p>
        </w:tc>
        <w:tc>
          <w:tcPr>
            <w:tcW w:w="4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9C3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按照市商务局工作组织企业申报“阳江老字号”，阳西县粤香酒家、广东巨树食品有限公司、阳西县塔山凉果厂和永光刀剪集团有限公司已作为 阳西县“阳江老字号”推荐名单进行公示</w:t>
            </w:r>
          </w:p>
        </w:tc>
      </w:tr>
      <w:tr w14:paraId="57355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000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w:t>
            </w: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1B84">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落实外贸主体培育壮大工作</w:t>
            </w:r>
          </w:p>
        </w:tc>
        <w:tc>
          <w:tcPr>
            <w:tcW w:w="4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9A8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落实企业服务工作和做好政策宣贯工作</w:t>
            </w:r>
          </w:p>
        </w:tc>
      </w:tr>
      <w:tr w14:paraId="24921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E3E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w:t>
            </w: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65F10">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扎实开展招商工作</w:t>
            </w:r>
          </w:p>
        </w:tc>
        <w:tc>
          <w:tcPr>
            <w:tcW w:w="4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D46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统筹做好招商领导小组办公室和农业海洋文旅招商队、工业招商队、珠海帮扶招商队三支招商队工作，每周将工作情况汇报县委、县政府；落实县委、县政府工作部署，每季度召开一次招商推介会，为阳西吹响招商号角</w:t>
            </w:r>
          </w:p>
        </w:tc>
      </w:tr>
      <w:tr w14:paraId="4D6BD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2348">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w:t>
            </w: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1923">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筑安全，商贸市场更加平稳有序</w:t>
            </w:r>
          </w:p>
        </w:tc>
        <w:tc>
          <w:tcPr>
            <w:tcW w:w="4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BF1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强化责任担当，扎实开展安全生产，消防安全、燃气安全等各项排查整治工作，促进我县商贸领域安全生产持续稳定发展</w:t>
            </w:r>
          </w:p>
        </w:tc>
      </w:tr>
    </w:tbl>
    <w:p w14:paraId="5B277233">
      <w:pPr>
        <w:spacing w:line="600" w:lineRule="exact"/>
        <w:ind w:firstLine="616" w:firstLineChars="200"/>
        <w:rPr>
          <w:rFonts w:hint="eastAsia" w:eastAsia="仿宋_GB2312"/>
          <w:b/>
          <w:color w:val="auto"/>
          <w:lang w:val="en-US" w:eastAsia="zh-CN"/>
        </w:rPr>
      </w:pPr>
    </w:p>
    <w:p w14:paraId="640E03C4">
      <w:pPr>
        <w:ind w:firstLine="616" w:firstLineChars="200"/>
        <w:rPr>
          <w:rFonts w:ascii="方正小标宋简体" w:eastAsia="方正小标宋简体"/>
          <w:color w:val="auto"/>
        </w:rPr>
      </w:pPr>
      <w:bookmarkStart w:id="11" w:name="_Toc4514_WPSOffice_Level1"/>
      <w:bookmarkStart w:id="12" w:name="_Toc22180"/>
      <w:r>
        <w:rPr>
          <w:rFonts w:hint="eastAsia" w:ascii="方正小标宋简体" w:eastAsia="方正小标宋简体"/>
          <w:color w:val="auto"/>
        </w:rPr>
        <w:t>二、绩效自评结论</w:t>
      </w:r>
      <w:bookmarkEnd w:id="11"/>
      <w:bookmarkEnd w:id="12"/>
    </w:p>
    <w:p w14:paraId="293DA7BD">
      <w:pPr>
        <w:snapToGrid w:val="0"/>
        <w:spacing w:line="360" w:lineRule="auto"/>
        <w:ind w:firstLine="616" w:firstLineChars="200"/>
        <w:rPr>
          <w:rFonts w:ascii="方正小标宋简体" w:eastAsia="方正小标宋简体"/>
          <w:color w:val="auto"/>
        </w:rPr>
      </w:pPr>
      <w:r>
        <w:rPr>
          <w:rFonts w:hint="eastAsia" w:ascii="仿宋_GB2312" w:hAnsi="华文仿宋" w:cs="仿宋_GB2312"/>
          <w:color w:val="auto"/>
          <w:szCs w:val="32"/>
        </w:rPr>
        <w:t>根据广东省阳西县财政局关于《阳西县财政局关于做好2025年县级财政资金部门整体支出和项目支出绩效自评工作的通知》（西财绩〔2025〕2号）的相关要求和标准,阳西</w:t>
      </w:r>
      <w:r>
        <w:rPr>
          <w:rFonts w:hint="eastAsia" w:ascii="仿宋_GB2312" w:hAnsi="华文仿宋" w:cs="仿宋_GB2312"/>
          <w:color w:val="auto"/>
          <w:szCs w:val="32"/>
          <w:lang w:val="en-US" w:eastAsia="zh-CN"/>
        </w:rPr>
        <w:t>商务</w:t>
      </w:r>
      <w:r>
        <w:rPr>
          <w:rFonts w:hint="eastAsia" w:ascii="仿宋_GB2312" w:hAnsi="华文仿宋" w:cs="仿宋_GB2312"/>
          <w:color w:val="auto"/>
          <w:szCs w:val="32"/>
        </w:rPr>
        <w:t>局2024年部门整体支出绩效自评分数为</w:t>
      </w:r>
      <w:r>
        <w:rPr>
          <w:rFonts w:hint="eastAsia" w:ascii="仿宋_GB2312" w:hAnsi="华文仿宋" w:cs="仿宋_GB2312"/>
          <w:color w:val="auto"/>
          <w:szCs w:val="32"/>
          <w:lang w:val="en-US" w:eastAsia="zh-CN"/>
        </w:rPr>
        <w:t>96</w:t>
      </w:r>
      <w:r>
        <w:rPr>
          <w:rFonts w:hint="eastAsia" w:ascii="仿宋_GB2312" w:hAnsi="华文仿宋" w:cs="仿宋_GB2312"/>
          <w:color w:val="auto"/>
          <w:szCs w:val="32"/>
        </w:rPr>
        <w:t>分,绩效等级为优。</w:t>
      </w:r>
    </w:p>
    <w:p w14:paraId="39EDF5DA">
      <w:pPr>
        <w:ind w:firstLine="616" w:firstLineChars="200"/>
        <w:rPr>
          <w:rFonts w:ascii="方正小标宋简体" w:eastAsia="方正小标宋简体"/>
          <w:color w:val="auto"/>
        </w:rPr>
      </w:pPr>
      <w:bookmarkStart w:id="13" w:name="_Toc2998_WPSOffice_Level1"/>
      <w:bookmarkStart w:id="14" w:name="_Toc2072"/>
      <w:r>
        <w:rPr>
          <w:rFonts w:hint="eastAsia" w:ascii="方正小标宋简体" w:eastAsia="方正小标宋简体"/>
          <w:color w:val="auto"/>
        </w:rPr>
        <w:t>三、绩效自评分析</w:t>
      </w:r>
      <w:bookmarkEnd w:id="13"/>
      <w:bookmarkEnd w:id="14"/>
    </w:p>
    <w:p w14:paraId="281985D9">
      <w:pPr>
        <w:ind w:firstLine="616" w:firstLineChars="200"/>
        <w:rPr>
          <w:b/>
          <w:color w:val="auto"/>
        </w:rPr>
      </w:pPr>
      <w:bookmarkStart w:id="15" w:name="_Toc19924"/>
      <w:bookmarkStart w:id="16" w:name="_Toc26765_WPSOffice_Level3"/>
      <w:bookmarkStart w:id="17" w:name="_Toc22677"/>
      <w:bookmarkStart w:id="18" w:name="_Toc27392_WPSOffice_Level2"/>
      <w:r>
        <w:rPr>
          <w:rFonts w:hint="eastAsia"/>
          <w:b/>
          <w:color w:val="auto"/>
        </w:rPr>
        <w:t>（一）预算编制情况</w:t>
      </w:r>
      <w:bookmarkEnd w:id="15"/>
      <w:bookmarkEnd w:id="16"/>
      <w:bookmarkEnd w:id="17"/>
      <w:bookmarkEnd w:id="18"/>
      <w:r>
        <w:rPr>
          <w:rFonts w:hint="eastAsia"/>
          <w:b/>
          <w:color w:val="auto"/>
        </w:rPr>
        <w:t>。</w:t>
      </w:r>
    </w:p>
    <w:p w14:paraId="1E9ECB8F">
      <w:pPr>
        <w:ind w:firstLine="616" w:firstLineChars="200"/>
        <w:rPr>
          <w:rFonts w:hint="eastAsia" w:ascii="仿宋_GB2312" w:hAnsi="仿宋_GB2312" w:cs="仿宋_GB2312"/>
          <w:color w:val="auto"/>
          <w:szCs w:val="32"/>
          <w:lang w:bidi="ar"/>
        </w:rPr>
      </w:pPr>
      <w:bookmarkStart w:id="19" w:name="_Toc8156"/>
      <w:r>
        <w:rPr>
          <w:rFonts w:hint="eastAsia" w:ascii="仿宋_GB2312" w:hAnsi="仿宋_GB2312" w:cs="仿宋_GB2312"/>
          <w:color w:val="auto"/>
          <w:szCs w:val="32"/>
          <w:lang w:bidi="ar"/>
        </w:rPr>
        <w:t>1.预算编制合理性及规范性，指标总分8分，自评得分8分。</w:t>
      </w:r>
    </w:p>
    <w:p w14:paraId="3DB45E2A">
      <w:pPr>
        <w:ind w:firstLine="616" w:firstLineChars="200"/>
        <w:rPr>
          <w:rFonts w:hint="eastAsia" w:ascii="仿宋_GB2312" w:hAnsi="仿宋_GB2312" w:cs="仿宋_GB2312"/>
          <w:color w:val="auto"/>
          <w:szCs w:val="32"/>
          <w:lang w:bidi="ar"/>
        </w:rPr>
      </w:pPr>
      <w:r>
        <w:rPr>
          <w:rFonts w:hint="eastAsia" w:ascii="仿宋_GB2312" w:hAnsi="仿宋_GB2312" w:cs="仿宋_GB2312"/>
          <w:color w:val="auto"/>
          <w:szCs w:val="32"/>
          <w:lang w:bidi="ar"/>
        </w:rPr>
        <w:t>（1）预算编制合理性，指标总4分，自评得分4分。预算编制规范合理，符合部门职责，满足年度工作需要，财政拨款收入预决算差异率为0。但是由于年初预算编制不包含部门重点工作任务，导致项目资金支出与年初预算数存在差异。</w:t>
      </w:r>
    </w:p>
    <w:p w14:paraId="316F5A68">
      <w:pPr>
        <w:ind w:firstLine="616" w:firstLineChars="200"/>
        <w:rPr>
          <w:rFonts w:hint="eastAsia" w:ascii="仿宋_GB2312" w:hAnsi="仿宋_GB2312" w:cs="仿宋_GB2312"/>
          <w:color w:val="auto"/>
          <w:szCs w:val="32"/>
          <w:lang w:bidi="ar"/>
        </w:rPr>
      </w:pPr>
      <w:r>
        <w:rPr>
          <w:rFonts w:hint="eastAsia" w:ascii="仿宋_GB2312" w:hAnsi="仿宋_GB2312" w:cs="仿宋_GB2312"/>
          <w:color w:val="auto"/>
          <w:szCs w:val="32"/>
          <w:lang w:bidi="ar"/>
        </w:rPr>
        <w:t>（2）预算编制规范性，指标总分4分，自评得分4分。预算编制规范，按照县财政部门印发的预算编制工作方案、制度做好项目库入库管理、评审工作，做到规范、完整、细致。</w:t>
      </w:r>
    </w:p>
    <w:p w14:paraId="140CDDF5">
      <w:pPr>
        <w:ind w:firstLine="616" w:firstLineChars="200"/>
        <w:rPr>
          <w:rFonts w:hint="eastAsia" w:ascii="仿宋_GB2312" w:hAnsi="仿宋_GB2312" w:cs="仿宋_GB2312"/>
          <w:color w:val="auto"/>
          <w:szCs w:val="32"/>
          <w:lang w:bidi="ar"/>
        </w:rPr>
      </w:pPr>
      <w:r>
        <w:rPr>
          <w:rFonts w:hint="eastAsia" w:ascii="仿宋_GB2312" w:hAnsi="仿宋_GB2312" w:cs="仿宋_GB2312"/>
          <w:color w:val="auto"/>
          <w:szCs w:val="32"/>
          <w:lang w:bidi="ar"/>
        </w:rPr>
        <w:t>2.目标设置情况，指标总分12分，自评得分12分。根据部门职责和年度重点工作任务，设置了明确合理的绩效目标。</w:t>
      </w:r>
    </w:p>
    <w:p w14:paraId="50B0CFA0">
      <w:pPr>
        <w:ind w:firstLine="616" w:firstLineChars="200"/>
        <w:rPr>
          <w:rFonts w:hint="eastAsia" w:ascii="仿宋_GB2312" w:hAnsi="仿宋_GB2312" w:cs="仿宋_GB2312"/>
          <w:color w:val="auto"/>
          <w:szCs w:val="32"/>
          <w:lang w:bidi="ar"/>
        </w:rPr>
      </w:pPr>
      <w:r>
        <w:rPr>
          <w:rFonts w:hint="eastAsia" w:ascii="仿宋_GB2312" w:hAnsi="仿宋_GB2312" w:cs="仿宋_GB2312"/>
          <w:color w:val="auto"/>
          <w:szCs w:val="32"/>
          <w:lang w:bidi="ar"/>
        </w:rPr>
        <w:t>（1）绩效目标合理性，指标总分6分，自评6分。根据部门职责的年度重点工作任务，设立绩效目标与部门履职和年度工作任务相符性。</w:t>
      </w:r>
    </w:p>
    <w:p w14:paraId="14F6C3EE">
      <w:pPr>
        <w:ind w:firstLine="616" w:firstLineChars="200"/>
        <w:rPr>
          <w:rFonts w:hint="eastAsia" w:ascii="仿宋_GB2312" w:hAnsi="仿宋_GB2312" w:cs="仿宋_GB2312"/>
          <w:color w:val="auto"/>
          <w:szCs w:val="32"/>
          <w:lang w:bidi="ar"/>
        </w:rPr>
      </w:pPr>
      <w:r>
        <w:rPr>
          <w:rFonts w:hint="eastAsia" w:ascii="仿宋_GB2312" w:hAnsi="仿宋_GB2312" w:cs="仿宋_GB2312"/>
          <w:color w:val="auto"/>
          <w:szCs w:val="32"/>
          <w:lang w:bidi="ar"/>
        </w:rPr>
        <w:t>（2）绩效目标完整性，指标总分2分，自评2分。根据部门职责的年度重点工作任务，设立绩效目标与部门履职和年度工作任务完整性。</w:t>
      </w:r>
    </w:p>
    <w:p w14:paraId="3ADBF11E">
      <w:pPr>
        <w:ind w:firstLine="616" w:firstLineChars="200"/>
        <w:rPr>
          <w:rFonts w:eastAsia="宋体"/>
          <w:color w:val="auto"/>
          <w:sz w:val="24"/>
          <w:szCs w:val="22"/>
        </w:rPr>
      </w:pPr>
      <w:r>
        <w:rPr>
          <w:rFonts w:hint="eastAsia" w:ascii="仿宋_GB2312" w:hAnsi="仿宋_GB2312" w:cs="仿宋_GB2312"/>
          <w:color w:val="auto"/>
          <w:szCs w:val="32"/>
          <w:lang w:bidi="ar"/>
        </w:rPr>
        <w:t>（3）绩效目标明确性，指标总分4分，自评4分。根据部门职责的年度重点工作任务，设立绩效目标与部门履职和年度工作任务明确性。</w:t>
      </w:r>
      <w:bookmarkEnd w:id="19"/>
    </w:p>
    <w:p w14:paraId="5B3AFCEA">
      <w:pPr>
        <w:ind w:firstLine="616" w:firstLineChars="200"/>
        <w:rPr>
          <w:b/>
          <w:color w:val="auto"/>
        </w:rPr>
      </w:pPr>
      <w:bookmarkStart w:id="20" w:name="_Toc13662"/>
      <w:bookmarkStart w:id="21" w:name="_Toc5828_WPSOffice_Level3"/>
      <w:bookmarkStart w:id="22" w:name="_Toc32482"/>
      <w:bookmarkStart w:id="23" w:name="_Toc19200_WPSOffice_Level2"/>
      <w:r>
        <w:rPr>
          <w:rFonts w:hint="eastAsia"/>
          <w:b/>
          <w:color w:val="auto"/>
        </w:rPr>
        <w:t>（二）预算执行情况</w:t>
      </w:r>
      <w:bookmarkEnd w:id="20"/>
      <w:bookmarkEnd w:id="21"/>
      <w:bookmarkEnd w:id="22"/>
      <w:bookmarkEnd w:id="23"/>
      <w:r>
        <w:rPr>
          <w:rFonts w:hint="eastAsia"/>
          <w:b/>
          <w:color w:val="auto"/>
        </w:rPr>
        <w:t>。</w:t>
      </w:r>
    </w:p>
    <w:p w14:paraId="4D3863D1">
      <w:pPr>
        <w:ind w:firstLine="924" w:firstLineChars="300"/>
        <w:rPr>
          <w:rFonts w:ascii="仿宋_GB2312" w:hAnsi="仿宋_GB2312" w:cs="仿宋_GB2312"/>
          <w:bCs/>
          <w:color w:val="auto"/>
          <w:szCs w:val="32"/>
          <w:lang w:bidi="ar"/>
        </w:rPr>
      </w:pPr>
      <w:r>
        <w:rPr>
          <w:rFonts w:hint="eastAsia" w:ascii="仿宋_GB2312" w:hAnsi="仿宋_GB2312" w:cs="仿宋_GB2312"/>
          <w:color w:val="auto"/>
          <w:szCs w:val="32"/>
          <w:lang w:bidi="ar"/>
        </w:rPr>
        <w:t>1.制度管理。</w:t>
      </w:r>
    </w:p>
    <w:p w14:paraId="77ABAAA3">
      <w:pPr>
        <w:ind w:firstLine="616" w:firstLineChars="200"/>
        <w:rPr>
          <w:rFonts w:hint="eastAsia" w:ascii="仿宋_GB2312" w:hAnsi="仿宋_GB2312" w:cs="仿宋_GB2312"/>
          <w:bCs/>
          <w:color w:val="auto"/>
          <w:szCs w:val="32"/>
          <w:lang w:bidi="ar"/>
        </w:rPr>
      </w:pPr>
      <w:bookmarkStart w:id="24" w:name="_Toc3788"/>
      <w:r>
        <w:rPr>
          <w:rFonts w:hint="eastAsia" w:ascii="仿宋_GB2312" w:hAnsi="仿宋_GB2312" w:cs="仿宋_GB2312"/>
          <w:bCs/>
          <w:color w:val="auto"/>
          <w:szCs w:val="32"/>
          <w:lang w:bidi="ar"/>
        </w:rPr>
        <w:t>（1）管理制度健全性执行情况，指标总分5分，自评</w:t>
      </w:r>
      <w:r>
        <w:rPr>
          <w:rFonts w:hint="eastAsia" w:ascii="仿宋_GB2312" w:hAnsi="仿宋_GB2312" w:cs="仿宋_GB2312"/>
          <w:bCs/>
          <w:color w:val="auto"/>
          <w:szCs w:val="32"/>
          <w:lang w:val="en-US" w:eastAsia="zh-CN" w:bidi="ar"/>
        </w:rPr>
        <w:t>4</w:t>
      </w:r>
      <w:r>
        <w:rPr>
          <w:rFonts w:hint="eastAsia" w:ascii="仿宋_GB2312" w:hAnsi="仿宋_GB2312" w:cs="仿宋_GB2312"/>
          <w:bCs/>
          <w:color w:val="auto"/>
          <w:szCs w:val="32"/>
          <w:lang w:bidi="ar"/>
        </w:rPr>
        <w:t>分。阳西县</w:t>
      </w:r>
      <w:r>
        <w:rPr>
          <w:rFonts w:hint="eastAsia" w:ascii="仿宋_GB2312" w:hAnsi="仿宋_GB2312" w:cs="仿宋_GB2312"/>
          <w:bCs/>
          <w:color w:val="auto"/>
          <w:szCs w:val="32"/>
          <w:lang w:val="en-US" w:eastAsia="zh-CN" w:bidi="ar"/>
        </w:rPr>
        <w:t>商务</w:t>
      </w:r>
      <w:r>
        <w:rPr>
          <w:rFonts w:hint="eastAsia" w:ascii="仿宋_GB2312" w:hAnsi="仿宋_GB2312" w:cs="仿宋_GB2312"/>
          <w:bCs/>
          <w:color w:val="auto"/>
          <w:szCs w:val="32"/>
          <w:lang w:bidi="ar"/>
        </w:rPr>
        <w:t>局制订了：①阳西县</w:t>
      </w:r>
      <w:r>
        <w:rPr>
          <w:rFonts w:hint="eastAsia" w:ascii="仿宋_GB2312" w:hAnsi="仿宋_GB2312" w:cs="仿宋_GB2312"/>
          <w:bCs/>
          <w:color w:val="auto"/>
          <w:szCs w:val="32"/>
          <w:lang w:val="en-US" w:eastAsia="zh-CN" w:bidi="ar"/>
        </w:rPr>
        <w:t>商务局</w:t>
      </w:r>
      <w:r>
        <w:rPr>
          <w:rFonts w:hint="eastAsia" w:ascii="仿宋_GB2312" w:hAnsi="仿宋_GB2312" w:cs="仿宋_GB2312"/>
          <w:bCs/>
          <w:color w:val="auto"/>
          <w:szCs w:val="32"/>
          <w:lang w:bidi="ar"/>
        </w:rPr>
        <w:t>财务管理制度；②阳西县</w:t>
      </w:r>
      <w:r>
        <w:rPr>
          <w:rFonts w:hint="eastAsia" w:ascii="仿宋_GB2312" w:hAnsi="仿宋_GB2312" w:cs="仿宋_GB2312"/>
          <w:bCs/>
          <w:color w:val="auto"/>
          <w:szCs w:val="32"/>
          <w:lang w:val="en-US" w:eastAsia="zh-CN" w:bidi="ar"/>
        </w:rPr>
        <w:t>商务</w:t>
      </w:r>
      <w:r>
        <w:rPr>
          <w:rFonts w:hint="eastAsia" w:ascii="仿宋_GB2312" w:hAnsi="仿宋_GB2312" w:cs="仿宋_GB2312"/>
          <w:bCs/>
          <w:color w:val="auto"/>
          <w:szCs w:val="32"/>
          <w:lang w:bidi="ar"/>
        </w:rPr>
        <w:t>局公务用车管理制度；③阳西县</w:t>
      </w:r>
      <w:r>
        <w:rPr>
          <w:rFonts w:hint="eastAsia" w:ascii="仿宋_GB2312" w:hAnsi="仿宋_GB2312" w:cs="仿宋_GB2312"/>
          <w:bCs/>
          <w:color w:val="auto"/>
          <w:szCs w:val="32"/>
          <w:lang w:val="en-US" w:eastAsia="zh-CN" w:bidi="ar"/>
        </w:rPr>
        <w:t>商务</w:t>
      </w:r>
      <w:r>
        <w:rPr>
          <w:rFonts w:hint="eastAsia" w:ascii="仿宋_GB2312" w:hAnsi="仿宋_GB2312" w:cs="仿宋_GB2312"/>
          <w:bCs/>
          <w:color w:val="auto"/>
          <w:szCs w:val="32"/>
          <w:lang w:bidi="ar"/>
        </w:rPr>
        <w:t>局差旅费管理办法；④内控管理制度。</w:t>
      </w:r>
    </w:p>
    <w:p w14:paraId="5599DB5D">
      <w:pPr>
        <w:ind w:firstLine="924" w:firstLineChars="3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2.资金管理。</w:t>
      </w:r>
    </w:p>
    <w:p w14:paraId="236B04FF">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（1）资金下达合规性，指标总分2分，自评2分。本单位在接到财政部门批复的本部门预算后按规定15日内向所属单位批复预算，预算批复及时性100%。</w:t>
      </w:r>
    </w:p>
    <w:p w14:paraId="1CB5ACBA">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（2）部门预算资金支出完成率，指标总分5分，自评5分。年初预算数支出与年初财政批复部门预算数一致。</w:t>
      </w:r>
    </w:p>
    <w:p w14:paraId="14ACB7C1">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（3）结转结余率，指标总分2分，自评2分。2021年年未结转结余率为零。</w:t>
      </w:r>
    </w:p>
    <w:p w14:paraId="5C9899D8">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（4）政府采购执行情况，指标总分4分，自评4分。政府采购严格按照相关财务制度执行。</w:t>
      </w:r>
    </w:p>
    <w:p w14:paraId="54C74CE5">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（5）财务合规性，指标总分4分，自评4分。资金费用支出严格按照制度支出，会计核算规范，统一行政事业单位财政集中财务核算上做帐。</w:t>
      </w:r>
    </w:p>
    <w:p w14:paraId="13CAB92B">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 xml:space="preserve">（6）预决算信息公开性，指标总分3分，自评3分。部门预决算统一按财政局要求按规定内容、在规定时限和范围内公开。 </w:t>
      </w:r>
    </w:p>
    <w:p w14:paraId="42A369DE">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3.项目管理。</w:t>
      </w:r>
    </w:p>
    <w:p w14:paraId="34E79D96">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项目管理，指标总分8分，自评8分。</w:t>
      </w:r>
    </w:p>
    <w:p w14:paraId="4037C09A">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（1）项目实施程序，指标总分5分，自评5分。阳西县</w:t>
      </w:r>
      <w:r>
        <w:rPr>
          <w:rFonts w:hint="eastAsia" w:ascii="仿宋_GB2312" w:hAnsi="仿宋_GB2312" w:cs="仿宋_GB2312"/>
          <w:bCs/>
          <w:color w:val="auto"/>
          <w:szCs w:val="32"/>
          <w:lang w:val="en-US" w:eastAsia="zh-CN" w:bidi="ar"/>
        </w:rPr>
        <w:t>商务</w:t>
      </w:r>
      <w:r>
        <w:rPr>
          <w:rFonts w:hint="eastAsia" w:ascii="仿宋_GB2312" w:hAnsi="仿宋_GB2312" w:cs="仿宋_GB2312"/>
          <w:bCs/>
          <w:color w:val="auto"/>
          <w:szCs w:val="32"/>
          <w:lang w:bidi="ar"/>
        </w:rPr>
        <w:t>局所有项目支出实施过程符合规范，严格执行相关制度规定。</w:t>
      </w:r>
    </w:p>
    <w:p w14:paraId="03237F48">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（2）项目监管，指标总分3分，自评3分。阳西县</w:t>
      </w:r>
      <w:r>
        <w:rPr>
          <w:rFonts w:hint="eastAsia" w:ascii="仿宋_GB2312" w:hAnsi="仿宋_GB2312" w:cs="仿宋_GB2312"/>
          <w:bCs/>
          <w:color w:val="auto"/>
          <w:szCs w:val="32"/>
          <w:lang w:val="en-US" w:eastAsia="zh-CN" w:bidi="ar"/>
        </w:rPr>
        <w:t>商务</w:t>
      </w:r>
      <w:r>
        <w:rPr>
          <w:rFonts w:hint="eastAsia" w:ascii="仿宋_GB2312" w:hAnsi="仿宋_GB2312" w:cs="仿宋_GB2312"/>
          <w:bCs/>
          <w:color w:val="auto"/>
          <w:szCs w:val="32"/>
          <w:lang w:bidi="ar"/>
        </w:rPr>
        <w:t>局所有项目支出建立有效运行监控机制。</w:t>
      </w:r>
    </w:p>
    <w:p w14:paraId="0FC09C22">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4.资产管理。</w:t>
      </w:r>
    </w:p>
    <w:p w14:paraId="15746A10">
      <w:pPr>
        <w:ind w:firstLine="616" w:firstLineChars="200"/>
        <w:rPr>
          <w:rFonts w:hint="eastAsia" w:ascii="仿宋_GB2312" w:hAnsi="仿宋_GB2312" w:cs="仿宋_GB2312"/>
          <w:bCs/>
          <w:color w:val="auto"/>
          <w:szCs w:val="32"/>
          <w:lang w:bidi="ar"/>
        </w:rPr>
      </w:pPr>
      <w:r>
        <w:rPr>
          <w:rFonts w:hint="eastAsia" w:ascii="仿宋_GB2312" w:hAnsi="仿宋_GB2312" w:cs="仿宋_GB2312"/>
          <w:bCs/>
          <w:color w:val="auto"/>
          <w:szCs w:val="32"/>
          <w:lang w:bidi="ar"/>
        </w:rPr>
        <w:t>（1）资产管理合规性，指标总分5分，自评</w:t>
      </w:r>
      <w:r>
        <w:rPr>
          <w:rFonts w:hint="eastAsia" w:ascii="仿宋_GB2312" w:hAnsi="仿宋_GB2312" w:cs="仿宋_GB2312"/>
          <w:bCs/>
          <w:color w:val="auto"/>
          <w:szCs w:val="32"/>
          <w:lang w:val="en-US" w:eastAsia="zh-CN" w:bidi="ar"/>
        </w:rPr>
        <w:t>4</w:t>
      </w:r>
      <w:r>
        <w:rPr>
          <w:rFonts w:hint="eastAsia" w:ascii="仿宋_GB2312" w:hAnsi="仿宋_GB2312" w:cs="仿宋_GB2312"/>
          <w:bCs/>
          <w:color w:val="auto"/>
          <w:szCs w:val="32"/>
          <w:lang w:bidi="ar"/>
        </w:rPr>
        <w:t>分。阳西县</w:t>
      </w:r>
      <w:r>
        <w:rPr>
          <w:rFonts w:hint="eastAsia" w:ascii="仿宋_GB2312" w:hAnsi="仿宋_GB2312" w:cs="仿宋_GB2312"/>
          <w:bCs/>
          <w:color w:val="auto"/>
          <w:szCs w:val="32"/>
          <w:lang w:eastAsia="zh-CN" w:bidi="ar"/>
        </w:rPr>
        <w:t>商务局</w:t>
      </w:r>
      <w:r>
        <w:rPr>
          <w:rFonts w:hint="eastAsia" w:ascii="仿宋_GB2312" w:hAnsi="仿宋_GB2312" w:cs="仿宋_GB2312"/>
          <w:bCs/>
          <w:color w:val="auto"/>
          <w:szCs w:val="32"/>
          <w:lang w:bidi="ar"/>
        </w:rPr>
        <w:t>资产配置合理，保管完整，帐实相符，按时报送行政事业性国有资产年报和月报，年报数据完整、准确。</w:t>
      </w:r>
    </w:p>
    <w:p w14:paraId="091AA9E2">
      <w:pPr>
        <w:ind w:firstLine="616" w:firstLineChars="200"/>
        <w:rPr>
          <w:rFonts w:ascii="仿宋_GB2312" w:hAnsi="仿宋_GB2312" w:cs="仿宋_GB2312"/>
          <w:bCs/>
          <w:color w:val="auto"/>
          <w:szCs w:val="32"/>
          <w:lang w:bidi="ar"/>
        </w:rPr>
      </w:pPr>
      <w:r>
        <w:rPr>
          <w:rFonts w:hint="eastAsia" w:ascii="仿宋_GB2312" w:hAnsi="仿宋_GB2312" w:cs="仿宋_GB2312"/>
          <w:bCs/>
          <w:color w:val="auto"/>
          <w:szCs w:val="32"/>
          <w:lang w:bidi="ar"/>
        </w:rPr>
        <w:t>（2）固定资产利用率，指标总分2分，自评</w:t>
      </w:r>
      <w:r>
        <w:rPr>
          <w:rFonts w:hint="eastAsia" w:ascii="仿宋_GB2312" w:hAnsi="仿宋_GB2312" w:cs="仿宋_GB2312"/>
          <w:bCs/>
          <w:color w:val="auto"/>
          <w:szCs w:val="32"/>
          <w:lang w:val="en-US" w:eastAsia="zh-CN" w:bidi="ar"/>
        </w:rPr>
        <w:t>0</w:t>
      </w:r>
      <w:r>
        <w:rPr>
          <w:rFonts w:hint="eastAsia" w:ascii="仿宋_GB2312" w:hAnsi="仿宋_GB2312" w:cs="仿宋_GB2312"/>
          <w:bCs/>
          <w:color w:val="auto"/>
          <w:szCs w:val="32"/>
          <w:lang w:bidi="ar"/>
        </w:rPr>
        <w:t>分。</w:t>
      </w:r>
      <w:r>
        <w:rPr>
          <w:rFonts w:hint="eastAsia" w:ascii="仿宋_GB2312" w:hAnsi="仿宋_GB2312" w:cs="仿宋_GB2312"/>
          <w:bCs/>
          <w:color w:val="auto"/>
          <w:szCs w:val="32"/>
          <w:lang w:val="en-US" w:eastAsia="zh-CN" w:bidi="ar"/>
        </w:rPr>
        <w:t>本单位为2024年新成立机构，暂无固定资产</w:t>
      </w:r>
      <w:r>
        <w:rPr>
          <w:rFonts w:hint="eastAsia" w:ascii="仿宋_GB2312" w:hAnsi="仿宋_GB2312" w:cs="仿宋_GB2312"/>
          <w:color w:val="auto"/>
          <w:szCs w:val="32"/>
          <w:lang w:bidi="ar"/>
        </w:rPr>
        <w:t>。</w:t>
      </w:r>
      <w:bookmarkEnd w:id="24"/>
    </w:p>
    <w:p w14:paraId="3EEA8F3B">
      <w:pPr>
        <w:ind w:firstLine="616" w:firstLineChars="200"/>
        <w:rPr>
          <w:b/>
          <w:color w:val="auto"/>
        </w:rPr>
      </w:pPr>
      <w:bookmarkStart w:id="25" w:name="_Toc20443_WPSOffice_Level3"/>
      <w:bookmarkStart w:id="26" w:name="_Toc26860"/>
      <w:bookmarkStart w:id="27" w:name="_Toc15901_WPSOffice_Level2"/>
      <w:bookmarkStart w:id="28" w:name="_Toc14900"/>
      <w:r>
        <w:rPr>
          <w:rFonts w:hint="eastAsia"/>
          <w:b/>
          <w:color w:val="auto"/>
        </w:rPr>
        <w:t>（三）</w:t>
      </w:r>
      <w:bookmarkEnd w:id="25"/>
      <w:bookmarkEnd w:id="26"/>
      <w:bookmarkEnd w:id="27"/>
      <w:bookmarkEnd w:id="28"/>
      <w:r>
        <w:rPr>
          <w:rFonts w:hint="eastAsia"/>
          <w:b/>
          <w:color w:val="auto"/>
        </w:rPr>
        <w:t>预算使用效益。</w:t>
      </w:r>
    </w:p>
    <w:p w14:paraId="4876B6E3">
      <w:pPr>
        <w:ind w:firstLine="616" w:firstLineChars="200"/>
        <w:rPr>
          <w:rFonts w:hint="eastAsia" w:ascii="仿宋_GB2312" w:hAnsi="仿宋_GB2312" w:cs="仿宋_GB2312"/>
          <w:color w:val="auto"/>
          <w:szCs w:val="32"/>
          <w:lang w:bidi="ar"/>
        </w:rPr>
      </w:pPr>
      <w:bookmarkStart w:id="29" w:name="_Toc18975"/>
      <w:r>
        <w:rPr>
          <w:rFonts w:hint="eastAsia" w:ascii="仿宋_GB2312" w:hAnsi="仿宋_GB2312" w:cs="仿宋_GB2312"/>
          <w:color w:val="auto"/>
          <w:szCs w:val="32"/>
          <w:lang w:bidi="ar"/>
        </w:rPr>
        <w:t>1.经济性。指标总分5分，自评5分。</w:t>
      </w:r>
    </w:p>
    <w:p w14:paraId="6F486359">
      <w:pPr>
        <w:ind w:firstLine="616" w:firstLineChars="200"/>
        <w:rPr>
          <w:rFonts w:hint="eastAsia" w:ascii="仿宋_GB2312" w:hAnsi="仿宋_GB2312" w:cs="仿宋_GB2312"/>
          <w:color w:val="auto"/>
          <w:szCs w:val="32"/>
          <w:lang w:bidi="ar"/>
        </w:rPr>
      </w:pPr>
      <w:r>
        <w:rPr>
          <w:rFonts w:hint="eastAsia" w:ascii="仿宋_GB2312" w:hAnsi="仿宋_GB2312" w:cs="仿宋_GB2312"/>
          <w:color w:val="auto"/>
          <w:szCs w:val="32"/>
          <w:lang w:bidi="ar"/>
        </w:rPr>
        <w:t>（1）“三公”经费及公用经费控制情况，阳西县</w:t>
      </w:r>
      <w:r>
        <w:rPr>
          <w:rFonts w:hint="eastAsia" w:ascii="仿宋_GB2312" w:hAnsi="仿宋_GB2312" w:cs="仿宋_GB2312"/>
          <w:color w:val="auto"/>
          <w:szCs w:val="32"/>
          <w:lang w:eastAsia="zh-CN" w:bidi="ar"/>
        </w:rPr>
        <w:t>商务局</w:t>
      </w:r>
      <w:r>
        <w:rPr>
          <w:rFonts w:hint="eastAsia" w:ascii="仿宋_GB2312" w:hAnsi="仿宋_GB2312" w:cs="仿宋_GB2312"/>
          <w:color w:val="auto"/>
          <w:szCs w:val="32"/>
          <w:lang w:bidi="ar"/>
        </w:rPr>
        <w:t>2024年“三公”经费实际支出</w:t>
      </w:r>
      <w:r>
        <w:rPr>
          <w:rFonts w:hint="eastAsia" w:ascii="仿宋_GB2312" w:hAnsi="仿宋_GB2312" w:cs="仿宋_GB2312"/>
          <w:color w:val="auto"/>
          <w:szCs w:val="32"/>
          <w:lang w:val="en-US" w:eastAsia="zh-CN" w:bidi="ar"/>
        </w:rPr>
        <w:t>12.48</w:t>
      </w:r>
      <w:r>
        <w:rPr>
          <w:rFonts w:hint="eastAsia" w:ascii="仿宋_GB2312" w:hAnsi="仿宋_GB2312" w:cs="仿宋_GB2312"/>
          <w:color w:val="auto"/>
          <w:szCs w:val="32"/>
          <w:lang w:bidi="ar"/>
        </w:rPr>
        <w:t>万元，日常公用经费</w:t>
      </w:r>
      <w:r>
        <w:rPr>
          <w:rFonts w:hint="eastAsia" w:ascii="仿宋_GB2312" w:hAnsi="仿宋_GB2312" w:cs="仿宋_GB2312"/>
          <w:color w:val="auto"/>
          <w:szCs w:val="32"/>
          <w:lang w:val="en-US" w:eastAsia="zh-CN" w:bidi="ar"/>
        </w:rPr>
        <w:t>10.83</w:t>
      </w:r>
      <w:r>
        <w:rPr>
          <w:rFonts w:hint="eastAsia" w:ascii="仿宋_GB2312" w:hAnsi="仿宋_GB2312" w:cs="仿宋_GB2312"/>
          <w:color w:val="auto"/>
          <w:szCs w:val="32"/>
          <w:lang w:bidi="ar"/>
        </w:rPr>
        <w:t>万元，较日常公用经费调整预算数减少0%。</w:t>
      </w:r>
    </w:p>
    <w:p w14:paraId="5DCE8882">
      <w:pPr>
        <w:keepNext w:val="0"/>
        <w:keepLines w:val="0"/>
        <w:pageBreakBefore w:val="0"/>
        <w:widowControl w:val="0"/>
        <w:kinsoku/>
        <w:wordWrap/>
        <w:overflowPunct/>
        <w:topLinePunct w:val="0"/>
        <w:autoSpaceDE/>
        <w:autoSpaceDN/>
        <w:bidi w:val="0"/>
        <w:adjustRightInd/>
        <w:snapToGrid/>
        <w:ind w:firstLine="616" w:firstLineChars="200"/>
        <w:textAlignment w:val="auto"/>
        <w:rPr>
          <w:rFonts w:hint="eastAsia" w:ascii="仿宋_GB2312" w:hAnsi="仿宋_GB2312" w:cs="仿宋_GB2312"/>
          <w:color w:val="auto"/>
          <w:szCs w:val="32"/>
          <w:lang w:bidi="ar"/>
        </w:rPr>
      </w:pPr>
      <w:r>
        <w:rPr>
          <w:rFonts w:hint="eastAsia" w:ascii="仿宋_GB2312" w:hAnsi="仿宋_GB2312" w:cs="仿宋_GB2312"/>
          <w:color w:val="auto"/>
          <w:szCs w:val="32"/>
          <w:lang w:bidi="ar"/>
        </w:rPr>
        <w:t>2.效率性。</w:t>
      </w:r>
    </w:p>
    <w:p w14:paraId="4FFAF1FE">
      <w:pPr>
        <w:keepNext w:val="0"/>
        <w:keepLines w:val="0"/>
        <w:pageBreakBefore w:val="0"/>
        <w:widowControl w:val="0"/>
        <w:kinsoku/>
        <w:wordWrap/>
        <w:overflowPunct/>
        <w:topLinePunct w:val="0"/>
        <w:autoSpaceDE/>
        <w:autoSpaceDN/>
        <w:bidi w:val="0"/>
        <w:adjustRightInd/>
        <w:snapToGrid/>
        <w:ind w:firstLine="616" w:firstLineChars="200"/>
        <w:textAlignment w:val="auto"/>
        <w:rPr>
          <w:rFonts w:hint="eastAsia" w:ascii="仿宋_GB2312" w:hAnsi="仿宋_GB2312" w:cs="仿宋_GB2312"/>
          <w:color w:val="auto"/>
          <w:szCs w:val="32"/>
          <w:lang w:bidi="ar"/>
        </w:rPr>
      </w:pPr>
      <w:r>
        <w:rPr>
          <w:rFonts w:hint="eastAsia" w:ascii="仿宋_GB2312" w:hAnsi="仿宋_GB2312" w:cs="仿宋_GB2312"/>
          <w:color w:val="auto"/>
          <w:szCs w:val="32"/>
          <w:lang w:bidi="ar"/>
        </w:rPr>
        <w:t>（1）项目完成及时性，指标总分3分，自评3分，</w:t>
      </w:r>
      <w:r>
        <w:rPr>
          <w:rFonts w:hint="eastAsia" w:ascii="仿宋_GB2312" w:hAnsi="仿宋_GB2312" w:cs="仿宋_GB2312"/>
          <w:color w:val="auto"/>
          <w:szCs w:val="32"/>
          <w:lang w:val="en-US" w:eastAsia="zh-CN" w:bidi="ar"/>
        </w:rPr>
        <w:t>阳西商务</w:t>
      </w:r>
      <w:r>
        <w:rPr>
          <w:rFonts w:hint="eastAsia" w:ascii="仿宋_GB2312" w:hAnsi="仿宋_GB2312" w:cs="仿宋_GB2312"/>
          <w:color w:val="auto"/>
          <w:szCs w:val="32"/>
          <w:lang w:bidi="ar"/>
        </w:rPr>
        <w:t>局项目均按预算安排的计划时间完成。</w:t>
      </w:r>
    </w:p>
    <w:p w14:paraId="37F1D546">
      <w:pPr>
        <w:keepNext w:val="0"/>
        <w:keepLines w:val="0"/>
        <w:pageBreakBefore w:val="0"/>
        <w:widowControl w:val="0"/>
        <w:kinsoku/>
        <w:wordWrap/>
        <w:overflowPunct/>
        <w:topLinePunct w:val="0"/>
        <w:autoSpaceDE/>
        <w:autoSpaceDN/>
        <w:bidi w:val="0"/>
        <w:adjustRightInd/>
        <w:snapToGrid/>
        <w:ind w:firstLine="616" w:firstLineChars="200"/>
        <w:textAlignment w:val="auto"/>
        <w:rPr>
          <w:rFonts w:hint="eastAsia" w:ascii="仿宋_GB2312" w:hAnsi="仿宋_GB2312" w:cs="仿宋_GB2312"/>
          <w:color w:val="auto"/>
          <w:szCs w:val="32"/>
          <w:lang w:bidi="ar"/>
        </w:rPr>
      </w:pPr>
      <w:r>
        <w:rPr>
          <w:rFonts w:hint="eastAsia" w:ascii="仿宋_GB2312" w:hAnsi="仿宋_GB2312" w:cs="仿宋_GB2312"/>
          <w:color w:val="auto"/>
          <w:szCs w:val="32"/>
          <w:lang w:bidi="ar"/>
        </w:rPr>
        <w:t>（2）绩效目标完成率，指标总分3分，自评3分，</w:t>
      </w:r>
      <w:r>
        <w:rPr>
          <w:rFonts w:hint="eastAsia" w:ascii="仿宋_GB2312" w:hAnsi="仿宋_GB2312" w:cs="仿宋_GB2312"/>
          <w:color w:val="auto"/>
          <w:szCs w:val="32"/>
          <w:lang w:val="en-US" w:eastAsia="zh-CN" w:bidi="ar"/>
        </w:rPr>
        <w:t>阳西商务</w:t>
      </w:r>
      <w:r>
        <w:rPr>
          <w:rFonts w:hint="eastAsia" w:ascii="仿宋_GB2312" w:hAnsi="仿宋_GB2312" w:cs="仿宋_GB2312"/>
          <w:color w:val="auto"/>
          <w:szCs w:val="32"/>
          <w:lang w:bidi="ar"/>
        </w:rPr>
        <w:t>局整体绩效目标和项目绩效目标两部分均按预算安排的计划时间完成。</w:t>
      </w:r>
    </w:p>
    <w:p w14:paraId="2098E1FB">
      <w:pPr>
        <w:keepNext w:val="0"/>
        <w:keepLines w:val="0"/>
        <w:pageBreakBefore w:val="0"/>
        <w:widowControl w:val="0"/>
        <w:kinsoku/>
        <w:wordWrap/>
        <w:overflowPunct/>
        <w:topLinePunct w:val="0"/>
        <w:autoSpaceDE/>
        <w:autoSpaceDN/>
        <w:bidi w:val="0"/>
        <w:adjustRightInd/>
        <w:snapToGrid/>
        <w:ind w:firstLine="616" w:firstLineChars="200"/>
        <w:textAlignment w:val="auto"/>
        <w:rPr>
          <w:rFonts w:hint="eastAsia" w:ascii="仿宋_GB2312" w:hAnsi="仿宋_GB2312" w:cs="仿宋_GB2312"/>
          <w:color w:val="auto"/>
          <w:szCs w:val="32"/>
          <w:lang w:bidi="ar"/>
        </w:rPr>
      </w:pPr>
      <w:r>
        <w:rPr>
          <w:rFonts w:hint="eastAsia" w:ascii="仿宋_GB2312" w:hAnsi="仿宋_GB2312" w:cs="仿宋_GB2312"/>
          <w:color w:val="auto"/>
          <w:szCs w:val="32"/>
          <w:lang w:bidi="ar"/>
        </w:rPr>
        <w:t>（3）重点任务完成情况，指标总分4分，自评4分，</w:t>
      </w:r>
      <w:r>
        <w:rPr>
          <w:rFonts w:hint="eastAsia" w:ascii="仿宋_GB2312" w:hAnsi="仿宋_GB2312" w:cs="仿宋_GB2312"/>
          <w:color w:val="auto"/>
          <w:szCs w:val="32"/>
          <w:lang w:val="en-US" w:eastAsia="zh-CN" w:bidi="ar"/>
        </w:rPr>
        <w:t>阳西商务</w:t>
      </w:r>
      <w:r>
        <w:rPr>
          <w:rFonts w:hint="eastAsia" w:ascii="仿宋_GB2312" w:hAnsi="仿宋_GB2312" w:cs="仿宋_GB2312"/>
          <w:color w:val="auto"/>
          <w:szCs w:val="32"/>
          <w:lang w:bidi="ar"/>
        </w:rPr>
        <w:t>局全部按期保质保量完成任务。</w:t>
      </w:r>
    </w:p>
    <w:p w14:paraId="6BEC9D3C">
      <w:pPr>
        <w:keepNext w:val="0"/>
        <w:keepLines w:val="0"/>
        <w:pageBreakBefore w:val="0"/>
        <w:widowControl w:val="0"/>
        <w:kinsoku/>
        <w:wordWrap/>
        <w:overflowPunct/>
        <w:topLinePunct w:val="0"/>
        <w:autoSpaceDE/>
        <w:autoSpaceDN/>
        <w:bidi w:val="0"/>
        <w:adjustRightInd/>
        <w:snapToGrid/>
        <w:ind w:firstLine="616" w:firstLineChars="200"/>
        <w:textAlignment w:val="auto"/>
        <w:rPr>
          <w:rFonts w:hint="eastAsia" w:ascii="仿宋_GB2312" w:hAnsi="仿宋_GB2312" w:cs="仿宋_GB2312"/>
          <w:color w:val="auto"/>
          <w:szCs w:val="32"/>
          <w:lang w:bidi="ar"/>
        </w:rPr>
      </w:pPr>
      <w:r>
        <w:rPr>
          <w:rFonts w:hint="eastAsia" w:ascii="仿宋_GB2312" w:hAnsi="仿宋_GB2312" w:cs="仿宋_GB2312"/>
          <w:color w:val="auto"/>
          <w:szCs w:val="32"/>
          <w:lang w:bidi="ar"/>
        </w:rPr>
        <w:t>3.效果性。指标总分20分，自评20分。</w:t>
      </w:r>
    </w:p>
    <w:p w14:paraId="202E6BF9">
      <w:pPr>
        <w:keepNext w:val="0"/>
        <w:keepLines w:val="0"/>
        <w:pageBreakBefore w:val="0"/>
        <w:widowControl w:val="0"/>
        <w:kinsoku/>
        <w:wordWrap/>
        <w:overflowPunct/>
        <w:topLinePunct w:val="0"/>
        <w:autoSpaceDE/>
        <w:autoSpaceDN/>
        <w:bidi w:val="0"/>
        <w:adjustRightInd/>
        <w:snapToGrid/>
        <w:ind w:firstLine="616" w:firstLineChars="200"/>
        <w:textAlignment w:val="auto"/>
        <w:rPr>
          <w:rFonts w:hint="eastAsia" w:ascii="仿宋_GB2312" w:hAnsi="仿宋_GB2312" w:cs="仿宋_GB2312"/>
          <w:color w:val="auto"/>
          <w:szCs w:val="32"/>
          <w:lang w:bidi="ar"/>
        </w:rPr>
      </w:pPr>
      <w:r>
        <w:rPr>
          <w:rFonts w:hint="eastAsia" w:ascii="仿宋_GB2312" w:hAnsi="仿宋_GB2312" w:cs="仿宋_GB2312"/>
          <w:color w:val="auto"/>
          <w:szCs w:val="32"/>
          <w:lang w:bidi="ar"/>
        </w:rPr>
        <w:t>部门履职效益，指标总分20分，自评20分，部门明确主要职责、保障机构正常运行。①推动企业纳统；②协实施县域商业建设行动示范县工作；③扩大商贸领域消费；④打造当地特色“老字号”；⑤落实外贸主体培育壮大工作；⑥扎实开展招商工作；⑦筑安全，商贸市场更加平稳有序。</w:t>
      </w:r>
    </w:p>
    <w:p w14:paraId="75E93A98">
      <w:pPr>
        <w:keepNext w:val="0"/>
        <w:keepLines w:val="0"/>
        <w:pageBreakBefore w:val="0"/>
        <w:widowControl w:val="0"/>
        <w:kinsoku/>
        <w:wordWrap/>
        <w:overflowPunct/>
        <w:topLinePunct w:val="0"/>
        <w:autoSpaceDE/>
        <w:autoSpaceDN/>
        <w:bidi w:val="0"/>
        <w:adjustRightInd/>
        <w:snapToGrid/>
        <w:ind w:firstLine="616" w:firstLineChars="200"/>
        <w:textAlignment w:val="auto"/>
        <w:rPr>
          <w:rFonts w:hint="eastAsia" w:ascii="仿宋_GB2312" w:hAnsi="仿宋_GB2312" w:cs="仿宋_GB2312"/>
          <w:color w:val="auto"/>
          <w:szCs w:val="32"/>
          <w:lang w:bidi="ar"/>
        </w:rPr>
      </w:pPr>
      <w:r>
        <w:rPr>
          <w:rFonts w:hint="eastAsia" w:ascii="仿宋_GB2312" w:hAnsi="仿宋_GB2312" w:cs="仿宋_GB2312"/>
          <w:color w:val="auto"/>
          <w:szCs w:val="32"/>
          <w:lang w:bidi="ar"/>
        </w:rPr>
        <w:t>4.公平性。</w:t>
      </w:r>
    </w:p>
    <w:p w14:paraId="127DCF65">
      <w:pPr>
        <w:keepNext w:val="0"/>
        <w:keepLines w:val="0"/>
        <w:pageBreakBefore w:val="0"/>
        <w:widowControl w:val="0"/>
        <w:kinsoku/>
        <w:wordWrap/>
        <w:overflowPunct/>
        <w:topLinePunct w:val="0"/>
        <w:autoSpaceDE/>
        <w:autoSpaceDN/>
        <w:bidi w:val="0"/>
        <w:adjustRightInd/>
        <w:snapToGrid/>
        <w:ind w:firstLine="616" w:firstLineChars="200"/>
        <w:textAlignment w:val="auto"/>
        <w:rPr>
          <w:rFonts w:hint="eastAsia" w:ascii="仿宋_GB2312" w:hAnsi="仿宋_GB2312" w:cs="仿宋_GB2312"/>
          <w:color w:val="auto"/>
          <w:szCs w:val="32"/>
          <w:lang w:bidi="ar"/>
        </w:rPr>
      </w:pPr>
      <w:r>
        <w:rPr>
          <w:rFonts w:hint="eastAsia" w:ascii="仿宋_GB2312" w:hAnsi="仿宋_GB2312" w:cs="仿宋_GB2312"/>
          <w:color w:val="auto"/>
          <w:szCs w:val="32"/>
          <w:lang w:bidi="ar"/>
        </w:rPr>
        <w:t>（1）群众信访办理情，指标总分，自评2分，阳西县</w:t>
      </w:r>
      <w:r>
        <w:rPr>
          <w:rFonts w:hint="eastAsia" w:ascii="仿宋_GB2312" w:hAnsi="仿宋_GB2312" w:cs="仿宋_GB2312"/>
          <w:color w:val="auto"/>
          <w:szCs w:val="32"/>
          <w:lang w:eastAsia="zh-CN" w:bidi="ar"/>
        </w:rPr>
        <w:t>商务局</w:t>
      </w:r>
      <w:r>
        <w:rPr>
          <w:rFonts w:hint="eastAsia" w:ascii="仿宋_GB2312" w:hAnsi="仿宋_GB2312" w:cs="仿宋_GB2312"/>
          <w:color w:val="auto"/>
          <w:szCs w:val="32"/>
          <w:lang w:bidi="ar"/>
        </w:rPr>
        <w:t>及时回复群众意见，群众信访办理回复率100%，群众满意度高。</w:t>
      </w:r>
    </w:p>
    <w:p w14:paraId="2CAAF260">
      <w:pPr>
        <w:keepNext w:val="0"/>
        <w:keepLines w:val="0"/>
        <w:pageBreakBefore w:val="0"/>
        <w:widowControl w:val="0"/>
        <w:kinsoku/>
        <w:wordWrap/>
        <w:overflowPunct/>
        <w:topLinePunct w:val="0"/>
        <w:autoSpaceDE/>
        <w:autoSpaceDN/>
        <w:bidi w:val="0"/>
        <w:adjustRightInd/>
        <w:snapToGrid/>
        <w:ind w:firstLine="616" w:firstLineChars="200"/>
        <w:textAlignment w:val="auto"/>
        <w:rPr>
          <w:rFonts w:ascii="仿宋_GB2312" w:hAnsi="仿宋_GB2312" w:cs="仿宋_GB2312"/>
          <w:color w:val="auto"/>
          <w:szCs w:val="32"/>
          <w:lang w:bidi="ar"/>
        </w:rPr>
      </w:pPr>
      <w:r>
        <w:rPr>
          <w:rFonts w:hint="eastAsia" w:ascii="仿宋_GB2312" w:hAnsi="仿宋_GB2312" w:cs="仿宋_GB2312"/>
          <w:color w:val="auto"/>
          <w:szCs w:val="32"/>
          <w:lang w:bidi="ar"/>
        </w:rPr>
        <w:t>（2）公众或服务对象满意度，指标总分3分，阳西县</w:t>
      </w:r>
      <w:r>
        <w:rPr>
          <w:rFonts w:hint="eastAsia" w:ascii="仿宋_GB2312" w:hAnsi="仿宋_GB2312" w:cs="仿宋_GB2312"/>
          <w:color w:val="auto"/>
          <w:szCs w:val="32"/>
          <w:lang w:eastAsia="zh-CN" w:bidi="ar"/>
        </w:rPr>
        <w:t>商务局</w:t>
      </w:r>
      <w:r>
        <w:rPr>
          <w:rFonts w:hint="eastAsia" w:ascii="仿宋_GB2312" w:hAnsi="仿宋_GB2312" w:cs="仿宋_GB2312"/>
          <w:color w:val="auto"/>
          <w:szCs w:val="32"/>
          <w:lang w:bidi="ar"/>
        </w:rPr>
        <w:t>及时回复群众意见，群众信访办理回复率100%，群众满意度高。</w:t>
      </w:r>
    </w:p>
    <w:p w14:paraId="07A1AA1C">
      <w:pPr>
        <w:ind w:firstLine="616" w:firstLineChars="200"/>
        <w:rPr>
          <w:rFonts w:ascii="方正小标宋简体" w:eastAsia="方正小标宋简体"/>
          <w:color w:val="auto"/>
        </w:rPr>
      </w:pPr>
      <w:r>
        <w:rPr>
          <w:rFonts w:hint="eastAsia" w:ascii="方正小标宋简体" w:eastAsia="方正小标宋简体"/>
          <w:color w:val="auto"/>
        </w:rPr>
        <w:t>四、存在的问题、原因分析及改进措施</w:t>
      </w:r>
    </w:p>
    <w:p w14:paraId="76038ECE">
      <w:pPr>
        <w:ind w:firstLine="616" w:firstLineChars="200"/>
        <w:rPr>
          <w:rFonts w:hint="eastAsia"/>
          <w:color w:val="auto"/>
          <w:lang w:val="en-US" w:eastAsia="zh-CN"/>
        </w:rPr>
      </w:pPr>
      <w:r>
        <w:rPr>
          <w:rFonts w:hint="eastAsia"/>
          <w:color w:val="auto"/>
          <w:lang w:val="en-US" w:eastAsia="zh-CN"/>
        </w:rPr>
        <w:t>在全面实施预算绩效管理工作中，发现部分股室对财政资金管理尚停在“重资金分配使用，轻资金管理”的层面，暂未能完全理解资金支出应体现的公共效益，忽视了资金的绩效影响。</w:t>
      </w:r>
    </w:p>
    <w:p w14:paraId="5AC46922">
      <w:pPr>
        <w:ind w:firstLine="616" w:firstLineChars="200"/>
        <w:rPr>
          <w:color w:val="auto"/>
        </w:rPr>
      </w:pPr>
      <w:r>
        <w:rPr>
          <w:rFonts w:hint="eastAsia"/>
          <w:color w:val="auto"/>
          <w:lang w:val="en-US" w:eastAsia="zh-CN"/>
        </w:rPr>
        <w:t>改进意见。提高领导层对绩效管理工作的重视，加强财务人员和业务经办人员的沟通，将绩效填报端口放到业务股室，进一步加强财务人员和业务股室人员绩效管理的培训，提高绩效管理水平，让业务部门真正参与到绩效管理的全进程中，更有利部门整体绩效管理水平的提高。</w:t>
      </w:r>
    </w:p>
    <w:bookmarkEnd w:id="29"/>
    <w:p w14:paraId="01571590">
      <w:pPr>
        <w:rPr>
          <w:color w:val="auto"/>
        </w:rPr>
      </w:pPr>
    </w:p>
    <w:sectPr>
      <w:headerReference r:id="rId3" w:type="default"/>
      <w:pgSz w:w="11906" w:h="16838"/>
      <w:pgMar w:top="1701" w:right="1588" w:bottom="1644" w:left="1701" w:header="851" w:footer="992" w:gutter="0"/>
      <w:cols w:space="425" w:num="1"/>
      <w:docGrid w:type="linesAndChars" w:linePitch="562"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2D5EB">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54"/>
  <w:drawingGridVerticalSpacing w:val="28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iZjVhMTA2MDQ1NzVmMmQ0ODNlYzNkMjljZWIyN2UifQ=="/>
  </w:docVars>
  <w:rsids>
    <w:rsidRoot w:val="00DA04CD"/>
    <w:rsid w:val="00007A67"/>
    <w:rsid w:val="00022542"/>
    <w:rsid w:val="000258AA"/>
    <w:rsid w:val="000D1E99"/>
    <w:rsid w:val="0012286D"/>
    <w:rsid w:val="00132593"/>
    <w:rsid w:val="00145B76"/>
    <w:rsid w:val="00170E39"/>
    <w:rsid w:val="001834A3"/>
    <w:rsid w:val="00195019"/>
    <w:rsid w:val="001B111B"/>
    <w:rsid w:val="001B4856"/>
    <w:rsid w:val="001D33F5"/>
    <w:rsid w:val="001E1FDF"/>
    <w:rsid w:val="001F096B"/>
    <w:rsid w:val="0022603D"/>
    <w:rsid w:val="00235EDE"/>
    <w:rsid w:val="002A7F8F"/>
    <w:rsid w:val="002C4D92"/>
    <w:rsid w:val="002D7EDF"/>
    <w:rsid w:val="002E516E"/>
    <w:rsid w:val="002E5CB6"/>
    <w:rsid w:val="002F1311"/>
    <w:rsid w:val="00314DC0"/>
    <w:rsid w:val="00331AA1"/>
    <w:rsid w:val="00347820"/>
    <w:rsid w:val="00347914"/>
    <w:rsid w:val="00395359"/>
    <w:rsid w:val="003B7E05"/>
    <w:rsid w:val="004078CE"/>
    <w:rsid w:val="00410146"/>
    <w:rsid w:val="00413B2F"/>
    <w:rsid w:val="00421D22"/>
    <w:rsid w:val="0043014F"/>
    <w:rsid w:val="004531CF"/>
    <w:rsid w:val="004749F5"/>
    <w:rsid w:val="00486009"/>
    <w:rsid w:val="004B2E77"/>
    <w:rsid w:val="004D35D6"/>
    <w:rsid w:val="004D736E"/>
    <w:rsid w:val="00510F6B"/>
    <w:rsid w:val="00537F7E"/>
    <w:rsid w:val="00566EB1"/>
    <w:rsid w:val="00574D73"/>
    <w:rsid w:val="005B06B5"/>
    <w:rsid w:val="005B07DD"/>
    <w:rsid w:val="005B6EB7"/>
    <w:rsid w:val="005B7DAB"/>
    <w:rsid w:val="005C28C3"/>
    <w:rsid w:val="005D4C3F"/>
    <w:rsid w:val="005E6FE2"/>
    <w:rsid w:val="00606F30"/>
    <w:rsid w:val="00620700"/>
    <w:rsid w:val="0062264E"/>
    <w:rsid w:val="006265B7"/>
    <w:rsid w:val="006317C3"/>
    <w:rsid w:val="00665117"/>
    <w:rsid w:val="00675A9A"/>
    <w:rsid w:val="006B0F8D"/>
    <w:rsid w:val="006D4795"/>
    <w:rsid w:val="0074594E"/>
    <w:rsid w:val="00754811"/>
    <w:rsid w:val="007705F1"/>
    <w:rsid w:val="00781B6C"/>
    <w:rsid w:val="0078264B"/>
    <w:rsid w:val="007A7399"/>
    <w:rsid w:val="00804DCB"/>
    <w:rsid w:val="00816A2A"/>
    <w:rsid w:val="008428B2"/>
    <w:rsid w:val="0084340E"/>
    <w:rsid w:val="0086235A"/>
    <w:rsid w:val="00876A57"/>
    <w:rsid w:val="00880F2C"/>
    <w:rsid w:val="008B525A"/>
    <w:rsid w:val="008C30AE"/>
    <w:rsid w:val="008E75C3"/>
    <w:rsid w:val="0090022C"/>
    <w:rsid w:val="00982492"/>
    <w:rsid w:val="00A66BD5"/>
    <w:rsid w:val="00A813BE"/>
    <w:rsid w:val="00A8644D"/>
    <w:rsid w:val="00A91495"/>
    <w:rsid w:val="00AC5B70"/>
    <w:rsid w:val="00AF7207"/>
    <w:rsid w:val="00B05F42"/>
    <w:rsid w:val="00B12D08"/>
    <w:rsid w:val="00B32B1B"/>
    <w:rsid w:val="00B55F8F"/>
    <w:rsid w:val="00BA5204"/>
    <w:rsid w:val="00BF3EFE"/>
    <w:rsid w:val="00BF4502"/>
    <w:rsid w:val="00C005AF"/>
    <w:rsid w:val="00C10A76"/>
    <w:rsid w:val="00C112EA"/>
    <w:rsid w:val="00CD5F4B"/>
    <w:rsid w:val="00D24C0F"/>
    <w:rsid w:val="00D41CC7"/>
    <w:rsid w:val="00D45282"/>
    <w:rsid w:val="00D46575"/>
    <w:rsid w:val="00D67E60"/>
    <w:rsid w:val="00D73EB4"/>
    <w:rsid w:val="00D74AD4"/>
    <w:rsid w:val="00D82FAA"/>
    <w:rsid w:val="00D90B2D"/>
    <w:rsid w:val="00DA04CD"/>
    <w:rsid w:val="00DA43A7"/>
    <w:rsid w:val="00DA5CEB"/>
    <w:rsid w:val="00DC37C4"/>
    <w:rsid w:val="00DC4199"/>
    <w:rsid w:val="00DE17BB"/>
    <w:rsid w:val="00DF7A41"/>
    <w:rsid w:val="00E03302"/>
    <w:rsid w:val="00E21FA4"/>
    <w:rsid w:val="00E23CAC"/>
    <w:rsid w:val="00E3272E"/>
    <w:rsid w:val="00E71A39"/>
    <w:rsid w:val="00E82D5B"/>
    <w:rsid w:val="00EA4E69"/>
    <w:rsid w:val="00EC4520"/>
    <w:rsid w:val="00ED3E32"/>
    <w:rsid w:val="00ED5CA9"/>
    <w:rsid w:val="00F04107"/>
    <w:rsid w:val="00F14CD1"/>
    <w:rsid w:val="00F43167"/>
    <w:rsid w:val="00F43EA4"/>
    <w:rsid w:val="00F57915"/>
    <w:rsid w:val="00FF40BF"/>
    <w:rsid w:val="02B7624C"/>
    <w:rsid w:val="02D44454"/>
    <w:rsid w:val="034416FF"/>
    <w:rsid w:val="039B157F"/>
    <w:rsid w:val="044C6E68"/>
    <w:rsid w:val="07862691"/>
    <w:rsid w:val="09185D37"/>
    <w:rsid w:val="09880942"/>
    <w:rsid w:val="0B9A495D"/>
    <w:rsid w:val="0D7C07BE"/>
    <w:rsid w:val="127557DC"/>
    <w:rsid w:val="128F22DB"/>
    <w:rsid w:val="14873384"/>
    <w:rsid w:val="14B00D4D"/>
    <w:rsid w:val="15483355"/>
    <w:rsid w:val="163F682C"/>
    <w:rsid w:val="192F3FF9"/>
    <w:rsid w:val="1D0F4EF7"/>
    <w:rsid w:val="1D43058A"/>
    <w:rsid w:val="23A14BB0"/>
    <w:rsid w:val="2ABB6708"/>
    <w:rsid w:val="2AEA32C4"/>
    <w:rsid w:val="2EAE40F8"/>
    <w:rsid w:val="317C672F"/>
    <w:rsid w:val="328B6984"/>
    <w:rsid w:val="331A61FF"/>
    <w:rsid w:val="34E00D83"/>
    <w:rsid w:val="3694276B"/>
    <w:rsid w:val="3E5C76CC"/>
    <w:rsid w:val="3F8F587F"/>
    <w:rsid w:val="444C3D3F"/>
    <w:rsid w:val="45492235"/>
    <w:rsid w:val="49425710"/>
    <w:rsid w:val="4AEE06AD"/>
    <w:rsid w:val="4B1F3F5B"/>
    <w:rsid w:val="4C2A705C"/>
    <w:rsid w:val="4C514CF7"/>
    <w:rsid w:val="515F3303"/>
    <w:rsid w:val="560102BF"/>
    <w:rsid w:val="57843928"/>
    <w:rsid w:val="59DB7EFC"/>
    <w:rsid w:val="5D4D4958"/>
    <w:rsid w:val="5F160123"/>
    <w:rsid w:val="60700A8D"/>
    <w:rsid w:val="66055B0F"/>
    <w:rsid w:val="68681920"/>
    <w:rsid w:val="6A010FA4"/>
    <w:rsid w:val="6AB35823"/>
    <w:rsid w:val="6AC65D4A"/>
    <w:rsid w:val="6AF723A7"/>
    <w:rsid w:val="6D907A90"/>
    <w:rsid w:val="6E6C58B8"/>
    <w:rsid w:val="6ED21161"/>
    <w:rsid w:val="70ED2C38"/>
    <w:rsid w:val="73D7089D"/>
    <w:rsid w:val="77CB2BF1"/>
    <w:rsid w:val="78340796"/>
    <w:rsid w:val="7B114DBF"/>
    <w:rsid w:val="7D7A30EF"/>
    <w:rsid w:val="7E7B09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11">
    <w:name w:val="正文首行缩进 21"/>
    <w:basedOn w:val="1"/>
    <w:qFormat/>
    <w:uiPriority w:val="0"/>
    <w:pPr>
      <w:spacing w:line="360" w:lineRule="auto"/>
      <w:ind w:firstLine="420" w:firstLineChars="200"/>
      <w:textAlignment w:val="baseline"/>
    </w:pPr>
    <w:rPr>
      <w:rFonts w:eastAsia="宋体"/>
      <w:sz w:val="24"/>
    </w:rPr>
  </w:style>
  <w:style w:type="paragraph" w:customStyle="1" w:styleId="12">
    <w:name w:val="Normal Indent"/>
    <w:qFormat/>
    <w:uiPriority w:val="0"/>
    <w:pPr>
      <w:widowControl w:val="0"/>
      <w:ind w:firstLine="42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8077</Words>
  <Characters>8362</Characters>
  <Lines>6</Lines>
  <Paragraphs>1</Paragraphs>
  <TotalTime>14</TotalTime>
  <ScaleCrop>false</ScaleCrop>
  <LinksUpToDate>false</LinksUpToDate>
  <CharactersWithSpaces>8414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2020-07-14T08:14:00Z</dcterms:created>
  <dc:creator>苏锦雯</dc:creator>
  <cp:lastModifiedBy>kky</cp:lastModifiedBy>
  <cp:lastPrinted>2020-07-14T08:13:00Z</cp:lastPrinted>
  <dcterms:modified xsi:type="dcterms:W3CDTF">2025-10-15T03:21:29Z</dcterms:modified>
  <dc:title>附件2-1.市级财政资金绩效自评报告</dc:title>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F3C46373B06540598F27F63458BB2E90_13</vt:lpwstr>
  </property>
  <property fmtid="{D5CDD505-2E9C-101B-9397-08002B2CF9AE}" pid="4" name="KSOTemplateDocerSaveRecord">
    <vt:lpwstr>eyJoZGlkIjoiZTkxMWRhOTNkYjVmMTE0MjQ2ODAxYjM0NGM4NWUwZjgiLCJ1c2VySWQiOiIyNTcyMzEzNjgifQ==</vt:lpwstr>
  </property>
</Properties>
</file>