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33CE45">
      <w:pPr>
        <w:pStyle w:val="6"/>
        <w:keepNext w:val="0"/>
        <w:keepLines w:val="0"/>
        <w:pageBreakBefore w:val="0"/>
        <w:widowControl w:val="0"/>
        <w:kinsoku/>
        <w:wordWrap/>
        <w:overflowPunct w:val="0"/>
        <w:topLinePunct/>
        <w:autoSpaceDE/>
        <w:autoSpaceDN/>
        <w:bidi w:val="0"/>
        <w:adjustRightInd/>
        <w:snapToGrid/>
        <w:spacing w:after="207" w:afterLines="5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eastAsia="zh-CN"/>
        </w:rPr>
      </w:pPr>
      <w:bookmarkStart w:id="0" w:name="_GoBack"/>
      <w:r>
        <w:rPr>
          <w:rFonts w:hint="eastAsia" w:ascii="方正小标宋简体" w:hAnsi="方正小标宋简体" w:eastAsia="方正小标宋简体" w:cs="方正小标宋简体"/>
          <w:sz w:val="44"/>
          <w:szCs w:val="44"/>
          <w:lang w:eastAsia="zh-CN"/>
        </w:rPr>
        <w:t>阳</w:t>
      </w:r>
      <w:r>
        <w:rPr>
          <w:rFonts w:hint="eastAsia" w:ascii="方正小标宋简体" w:hAnsi="方正小标宋简体" w:eastAsia="方正小标宋简体" w:cs="方正小标宋简体"/>
          <w:sz w:val="44"/>
          <w:szCs w:val="44"/>
          <w:lang w:val="en-US" w:eastAsia="zh-CN"/>
        </w:rPr>
        <w:t>西县</w:t>
      </w:r>
      <w:r>
        <w:rPr>
          <w:rFonts w:hint="eastAsia" w:ascii="方正小标宋简体" w:hAnsi="方正小标宋简体" w:eastAsia="方正小标宋简体" w:cs="方正小标宋简体"/>
          <w:sz w:val="44"/>
          <w:szCs w:val="44"/>
          <w:lang w:eastAsia="zh-CN"/>
        </w:rPr>
        <w:t>市场监督管理局企业行政合规指导清单（通用版）</w:t>
      </w:r>
    </w:p>
    <w:bookmarkEnd w:id="0"/>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706"/>
        <w:gridCol w:w="2187"/>
        <w:gridCol w:w="4750"/>
        <w:gridCol w:w="1196"/>
        <w:gridCol w:w="2860"/>
        <w:gridCol w:w="1309"/>
      </w:tblGrid>
      <w:tr w14:paraId="6B2AE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blHeader/>
          <w:jc w:val="center"/>
        </w:trPr>
        <w:tc>
          <w:tcPr>
            <w:tcW w:w="754" w:type="dxa"/>
            <w:noWrap w:val="0"/>
            <w:vAlign w:val="center"/>
          </w:tcPr>
          <w:p w14:paraId="05DFACF4">
            <w:pPr>
              <w:pStyle w:val="6"/>
              <w:widowControl w:val="0"/>
              <w:kinsoku/>
              <w:overflowPunct w:val="0"/>
              <w:topLinePunct/>
              <w:autoSpaceDE/>
              <w:autoSpaceDN/>
              <w:spacing w:line="280" w:lineRule="exact"/>
              <w:jc w:val="center"/>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序号</w:t>
            </w:r>
          </w:p>
        </w:tc>
        <w:tc>
          <w:tcPr>
            <w:tcW w:w="1706" w:type="dxa"/>
            <w:noWrap w:val="0"/>
            <w:vAlign w:val="center"/>
          </w:tcPr>
          <w:p w14:paraId="6F7A1396">
            <w:pPr>
              <w:pStyle w:val="6"/>
              <w:widowControl w:val="0"/>
              <w:kinsoku/>
              <w:overflowPunct w:val="0"/>
              <w:topLinePunct/>
              <w:autoSpaceDE/>
              <w:autoSpaceDN/>
              <w:spacing w:line="280" w:lineRule="exact"/>
              <w:jc w:val="both"/>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行政合规事项</w:t>
            </w:r>
          </w:p>
        </w:tc>
        <w:tc>
          <w:tcPr>
            <w:tcW w:w="2187" w:type="dxa"/>
            <w:noWrap w:val="0"/>
            <w:vAlign w:val="center"/>
          </w:tcPr>
          <w:p w14:paraId="7E2262D3">
            <w:pPr>
              <w:pStyle w:val="6"/>
              <w:widowControl w:val="0"/>
              <w:kinsoku/>
              <w:overflowPunct w:val="0"/>
              <w:topLinePunct/>
              <w:autoSpaceDE/>
              <w:autoSpaceDN/>
              <w:spacing w:line="280" w:lineRule="exact"/>
              <w:jc w:val="both"/>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常见违法行为表现</w:t>
            </w:r>
          </w:p>
        </w:tc>
        <w:tc>
          <w:tcPr>
            <w:tcW w:w="4750" w:type="dxa"/>
            <w:noWrap w:val="0"/>
            <w:vAlign w:val="center"/>
          </w:tcPr>
          <w:p w14:paraId="6782DD34">
            <w:pPr>
              <w:pStyle w:val="6"/>
              <w:widowControl w:val="0"/>
              <w:kinsoku/>
              <w:overflowPunct w:val="0"/>
              <w:topLinePunct/>
              <w:autoSpaceDE/>
              <w:autoSpaceDN/>
              <w:spacing w:line="280" w:lineRule="exact"/>
              <w:jc w:val="center"/>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法律依据及违法责任</w:t>
            </w:r>
          </w:p>
        </w:tc>
        <w:tc>
          <w:tcPr>
            <w:tcW w:w="1196" w:type="dxa"/>
            <w:noWrap w:val="0"/>
            <w:vAlign w:val="center"/>
          </w:tcPr>
          <w:p w14:paraId="0F00AE88">
            <w:pPr>
              <w:pStyle w:val="6"/>
              <w:widowControl w:val="0"/>
              <w:kinsoku/>
              <w:overflowPunct w:val="0"/>
              <w:topLinePunct/>
              <w:autoSpaceDE/>
              <w:autoSpaceDN/>
              <w:spacing w:line="280" w:lineRule="exact"/>
              <w:jc w:val="center"/>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风险等级</w:t>
            </w:r>
          </w:p>
        </w:tc>
        <w:tc>
          <w:tcPr>
            <w:tcW w:w="2860" w:type="dxa"/>
            <w:noWrap w:val="0"/>
            <w:vAlign w:val="center"/>
          </w:tcPr>
          <w:p w14:paraId="0D9EB144">
            <w:pPr>
              <w:pStyle w:val="6"/>
              <w:widowControl w:val="0"/>
              <w:kinsoku/>
              <w:overflowPunct w:val="0"/>
              <w:topLinePunct/>
              <w:autoSpaceDE/>
              <w:autoSpaceDN/>
              <w:spacing w:line="280" w:lineRule="exact"/>
              <w:jc w:val="center"/>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合规建议</w:t>
            </w:r>
          </w:p>
        </w:tc>
        <w:tc>
          <w:tcPr>
            <w:tcW w:w="1309" w:type="dxa"/>
            <w:noWrap w:val="0"/>
            <w:vAlign w:val="center"/>
          </w:tcPr>
          <w:p w14:paraId="64811471">
            <w:pPr>
              <w:pStyle w:val="6"/>
              <w:widowControl w:val="0"/>
              <w:kinsoku/>
              <w:overflowPunct w:val="0"/>
              <w:topLinePunct/>
              <w:autoSpaceDE/>
              <w:autoSpaceDN/>
              <w:spacing w:line="280" w:lineRule="exact"/>
              <w:jc w:val="center"/>
              <w:rPr>
                <w:rFonts w:ascii="Times New Roman" w:hAnsi="Times New Roman" w:eastAsia="黑体" w:cs="Times New Roman"/>
                <w:sz w:val="24"/>
                <w:szCs w:val="24"/>
                <w:lang w:eastAsia="zh-CN"/>
              </w:rPr>
            </w:pPr>
            <w:r>
              <w:rPr>
                <w:rFonts w:hint="default" w:ascii="Times New Roman" w:hAnsi="Times New Roman" w:eastAsia="黑体" w:cs="Times New Roman"/>
                <w:sz w:val="24"/>
                <w:szCs w:val="24"/>
                <w:lang w:eastAsia="zh-CN"/>
              </w:rPr>
              <w:t>指导机构</w:t>
            </w:r>
          </w:p>
        </w:tc>
      </w:tr>
      <w:tr w14:paraId="17F8B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4B7DB20">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1</w:t>
            </w:r>
          </w:p>
        </w:tc>
        <w:tc>
          <w:tcPr>
            <w:tcW w:w="1706" w:type="dxa"/>
            <w:noWrap w:val="0"/>
            <w:vAlign w:val="center"/>
          </w:tcPr>
          <w:p w14:paraId="7486EE09">
            <w:pPr>
              <w:widowControl w:val="0"/>
              <w:kinsoku/>
              <w:snapToGrid/>
              <w:spacing w:line="280" w:lineRule="exact"/>
              <w:ind w:firstLine="480" w:firstLineChars="200"/>
              <w:jc w:val="both"/>
              <w:textAlignment w:val="auto"/>
              <w:rPr>
                <w:rFonts w:ascii="Times New Roman" w:hAnsi="Times New Roman" w:eastAsia="仿宋_GB2312" w:cs="Times New Roman"/>
                <w:sz w:val="24"/>
                <w:szCs w:val="24"/>
              </w:rPr>
            </w:pPr>
            <w:r>
              <w:rPr>
                <w:rFonts w:hint="default" w:ascii="Times New Roman" w:hAnsi="Times New Roman" w:eastAsia="仿宋_GB2312" w:cs="Times New Roman"/>
                <w:snapToGrid/>
                <w:color w:val="auto"/>
                <w:sz w:val="24"/>
                <w:szCs w:val="24"/>
              </w:rPr>
              <w:t>市场主体应当按规定日期报送上一年度年度报告，并向社会公示</w:t>
            </w:r>
          </w:p>
        </w:tc>
        <w:tc>
          <w:tcPr>
            <w:tcW w:w="2187" w:type="dxa"/>
            <w:noWrap w:val="0"/>
            <w:vAlign w:val="center"/>
          </w:tcPr>
          <w:p w14:paraId="761551D3">
            <w:pPr>
              <w:widowControl w:val="0"/>
              <w:kinsoku/>
              <w:snapToGrid/>
              <w:spacing w:line="280" w:lineRule="exact"/>
              <w:ind w:firstLine="480" w:firstLineChars="200"/>
              <w:jc w:val="both"/>
              <w:textAlignment w:val="auto"/>
              <w:rPr>
                <w:rFonts w:ascii="Times New Roman" w:hAnsi="Times New Roman" w:eastAsia="仿宋_GB2312" w:cs="Times New Roman"/>
                <w:sz w:val="24"/>
                <w:szCs w:val="24"/>
              </w:rPr>
            </w:pPr>
            <w:r>
              <w:rPr>
                <w:rFonts w:hint="default" w:ascii="Times New Roman" w:hAnsi="Times New Roman" w:eastAsia="仿宋_GB2312" w:cs="Times New Roman"/>
                <w:snapToGrid/>
                <w:color w:val="auto"/>
                <w:sz w:val="24"/>
                <w:szCs w:val="24"/>
              </w:rPr>
              <w:t>市场主体未在每年 1月1日至6月30日，通过国家企业信用信息公示系统向市场监管部门报送上一年度年度报告，并向社会公示。</w:t>
            </w:r>
          </w:p>
        </w:tc>
        <w:tc>
          <w:tcPr>
            <w:tcW w:w="4750" w:type="dxa"/>
            <w:noWrap w:val="0"/>
            <w:vAlign w:val="top"/>
          </w:tcPr>
          <w:p w14:paraId="1D48D004">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《企业信息公示暂行条例》</w:t>
            </w:r>
          </w:p>
          <w:p w14:paraId="179E1F98">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第八条</w:t>
            </w:r>
            <w:r>
              <w:rPr>
                <w:rFonts w:hint="default" w:ascii="Times New Roman" w:hAnsi="Times New Roman" w:eastAsia="仿宋_GB2312" w:cs="Times New Roman"/>
                <w:snapToGrid/>
                <w:color w:val="auto"/>
                <w:sz w:val="24"/>
                <w:szCs w:val="24"/>
              </w:rPr>
              <w:t>　企业应当于每年1月1日至6月30日，通过国家企业信用信息公示系统向市场监督管理部门报送上一年度年度报告，并向社会公示。</w:t>
            </w:r>
          </w:p>
          <w:p w14:paraId="58855F5C">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当年设立登记的企业，自下一年起报送并公示年度报告。</w:t>
            </w:r>
          </w:p>
          <w:p w14:paraId="33885450">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第十八条</w:t>
            </w:r>
            <w:r>
              <w:rPr>
                <w:rFonts w:hint="default" w:ascii="Times New Roman" w:hAnsi="Times New Roman" w:eastAsia="仿宋_GB2312" w:cs="Times New Roman"/>
                <w:snapToGrid/>
                <w:color w:val="auto"/>
                <w:sz w:val="24"/>
                <w:szCs w:val="24"/>
              </w:rPr>
              <w:t>　企业未按照本条例规定的期限公示年度报告或者未按照市场监督管理部门责令的期限公示有关企业信息的，由县级以上市场监督管理部门列入经营异常名录，并依法给予行政处罚。企业因连续2年未按规定报送年度报告被列入经营异常名录未改正，且通过登记的住所或者经营场所无法取得联系的，由县级以上市场监督管理部门吊销营业执照。</w:t>
            </w:r>
          </w:p>
          <w:p w14:paraId="034B9CF1">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《中华人民共和国市场主体登记管理条例》</w:t>
            </w:r>
          </w:p>
          <w:p w14:paraId="67AA534B">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第三十五条</w:t>
            </w:r>
            <w:r>
              <w:rPr>
                <w:rFonts w:ascii="Times New Roman" w:hAnsi="Times New Roman" w:eastAsia="仿宋_GB2312" w:cs="Times New Roman"/>
                <w:snapToGrid/>
                <w:color w:val="auto"/>
                <w:sz w:val="24"/>
                <w:szCs w:val="24"/>
              </w:rPr>
              <w:t xml:space="preserve"> </w:t>
            </w:r>
            <w:r>
              <w:rPr>
                <w:rFonts w:hint="default" w:ascii="Times New Roman" w:hAnsi="Times New Roman" w:eastAsia="仿宋_GB2312" w:cs="Times New Roman"/>
                <w:snapToGrid/>
                <w:color w:val="auto"/>
                <w:sz w:val="24"/>
                <w:szCs w:val="24"/>
              </w:rPr>
              <w:t>市场主体应当按照国家有关规定公示年度报告和登记相关信息。</w:t>
            </w:r>
          </w:p>
          <w:p w14:paraId="0F641425">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《中华人民共和国市场主体登记管理条例实施细则》</w:t>
            </w:r>
          </w:p>
          <w:p w14:paraId="2A2192FB">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第六十三条</w:t>
            </w:r>
            <w:r>
              <w:rPr>
                <w:rFonts w:ascii="Times New Roman" w:hAnsi="Times New Roman" w:eastAsia="仿宋_GB2312" w:cs="Times New Roman"/>
                <w:snapToGrid/>
                <w:color w:val="auto"/>
                <w:sz w:val="24"/>
                <w:szCs w:val="24"/>
              </w:rPr>
              <w:t xml:space="preserve"> </w:t>
            </w:r>
            <w:r>
              <w:rPr>
                <w:rFonts w:hint="default" w:ascii="Times New Roman" w:hAnsi="Times New Roman" w:eastAsia="仿宋_GB2312" w:cs="Times New Roman"/>
                <w:snapToGrid/>
                <w:color w:val="auto"/>
                <w:sz w:val="24"/>
                <w:szCs w:val="24"/>
              </w:rPr>
              <w:t>市场主体应当于每年</w:t>
            </w:r>
            <w:r>
              <w:rPr>
                <w:rFonts w:ascii="Times New Roman" w:hAnsi="Times New Roman" w:eastAsia="仿宋_GB2312" w:cs="Times New Roman"/>
                <w:snapToGrid/>
                <w:color w:val="auto"/>
                <w:sz w:val="24"/>
                <w:szCs w:val="24"/>
              </w:rPr>
              <w:t>1</w:t>
            </w:r>
            <w:r>
              <w:rPr>
                <w:rFonts w:hint="default" w:ascii="Times New Roman" w:hAnsi="Times New Roman" w:eastAsia="仿宋_GB2312" w:cs="Times New Roman"/>
                <w:snapToGrid/>
                <w:color w:val="auto"/>
                <w:sz w:val="24"/>
                <w:szCs w:val="24"/>
              </w:rPr>
              <w:t>月</w:t>
            </w:r>
            <w:r>
              <w:rPr>
                <w:rFonts w:ascii="Times New Roman" w:hAnsi="Times New Roman" w:eastAsia="仿宋_GB2312" w:cs="Times New Roman"/>
                <w:snapToGrid/>
                <w:color w:val="auto"/>
                <w:sz w:val="24"/>
                <w:szCs w:val="24"/>
              </w:rPr>
              <w:t>1</w:t>
            </w:r>
            <w:r>
              <w:rPr>
                <w:rFonts w:hint="default" w:ascii="Times New Roman" w:hAnsi="Times New Roman" w:eastAsia="仿宋_GB2312" w:cs="Times New Roman"/>
                <w:snapToGrid/>
                <w:color w:val="auto"/>
                <w:sz w:val="24"/>
                <w:szCs w:val="24"/>
              </w:rPr>
              <w:t>日至</w:t>
            </w:r>
            <w:r>
              <w:rPr>
                <w:rFonts w:ascii="Times New Roman" w:hAnsi="Times New Roman" w:eastAsia="仿宋_GB2312" w:cs="Times New Roman"/>
                <w:snapToGrid/>
                <w:color w:val="auto"/>
                <w:sz w:val="24"/>
                <w:szCs w:val="24"/>
              </w:rPr>
              <w:t>6</w:t>
            </w:r>
            <w:r>
              <w:rPr>
                <w:rFonts w:hint="default" w:ascii="Times New Roman" w:hAnsi="Times New Roman" w:eastAsia="仿宋_GB2312" w:cs="Times New Roman"/>
                <w:snapToGrid/>
                <w:color w:val="auto"/>
                <w:sz w:val="24"/>
                <w:szCs w:val="24"/>
              </w:rPr>
              <w:t>月</w:t>
            </w:r>
            <w:r>
              <w:rPr>
                <w:rFonts w:ascii="Times New Roman" w:hAnsi="Times New Roman" w:eastAsia="仿宋_GB2312" w:cs="Times New Roman"/>
                <w:snapToGrid/>
                <w:color w:val="auto"/>
                <w:sz w:val="24"/>
                <w:szCs w:val="24"/>
              </w:rPr>
              <w:t xml:space="preserve"> 30</w:t>
            </w:r>
            <w:r>
              <w:rPr>
                <w:rFonts w:hint="default" w:ascii="Times New Roman" w:hAnsi="Times New Roman" w:eastAsia="仿宋_GB2312" w:cs="Times New Roman"/>
                <w:snapToGrid/>
                <w:color w:val="auto"/>
                <w:sz w:val="24"/>
                <w:szCs w:val="24"/>
              </w:rPr>
              <w:t>日，通过国家企业信用信息公示系统报送上一年度年度报告，并向社会公示。</w:t>
            </w:r>
          </w:p>
          <w:p w14:paraId="619F7472">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个体工商户可以通过纸质方式报送年度报告，并自主选择年度报告内容是否向社会公示。</w:t>
            </w:r>
          </w:p>
          <w:p w14:paraId="6FA89354">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歇业的市场主体应当按时公示年度报告。</w:t>
            </w:r>
          </w:p>
          <w:p w14:paraId="26B4A5F2">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第七十条</w:t>
            </w:r>
            <w:r>
              <w:rPr>
                <w:rFonts w:ascii="Times New Roman" w:hAnsi="Times New Roman" w:eastAsia="仿宋_GB2312" w:cs="Times New Roman"/>
                <w:snapToGrid/>
                <w:color w:val="auto"/>
                <w:sz w:val="24"/>
                <w:szCs w:val="24"/>
              </w:rPr>
              <w:t xml:space="preserve"> </w:t>
            </w:r>
            <w:r>
              <w:rPr>
                <w:rFonts w:hint="default" w:ascii="Times New Roman" w:hAnsi="Times New Roman" w:eastAsia="仿宋_GB2312" w:cs="Times New Roman"/>
                <w:snapToGrid/>
                <w:color w:val="auto"/>
                <w:sz w:val="24"/>
                <w:szCs w:val="24"/>
              </w:rPr>
              <w:t>市场主体未按照法律、行政法规规定的期限公示或者报送年度报告的，由登记机关列入经营异常名录，可以处</w:t>
            </w:r>
            <w:r>
              <w:rPr>
                <w:rFonts w:ascii="Times New Roman" w:hAnsi="Times New Roman" w:eastAsia="仿宋_GB2312" w:cs="Times New Roman"/>
                <w:snapToGrid/>
                <w:color w:val="auto"/>
                <w:sz w:val="24"/>
                <w:szCs w:val="24"/>
              </w:rPr>
              <w:t>1</w:t>
            </w:r>
            <w:r>
              <w:rPr>
                <w:rFonts w:hint="default" w:ascii="Times New Roman" w:hAnsi="Times New Roman" w:eastAsia="仿宋_GB2312" w:cs="Times New Roman"/>
                <w:snapToGrid/>
                <w:color w:val="auto"/>
                <w:sz w:val="24"/>
                <w:szCs w:val="24"/>
              </w:rPr>
              <w:t>万元以下的罚款。</w:t>
            </w:r>
          </w:p>
        </w:tc>
        <w:tc>
          <w:tcPr>
            <w:tcW w:w="1196" w:type="dxa"/>
            <w:noWrap w:val="0"/>
            <w:vAlign w:val="center"/>
          </w:tcPr>
          <w:p w14:paraId="1133708C">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709FBC9">
            <w:pPr>
              <w:widowControl w:val="0"/>
              <w:kinsoku/>
              <w:snapToGrid/>
              <w:spacing w:line="280" w:lineRule="exact"/>
              <w:ind w:firstLine="480" w:firstLineChars="200"/>
              <w:jc w:val="both"/>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按时报送年报是市场主体的法定义务，也是市场主体积累良好信用的途径。市场主体应树立自觉年报意识，在法定时间内报送年报，避免因逾期年报被列入经营异常名录，被行政机关处罚。</w:t>
            </w:r>
          </w:p>
        </w:tc>
        <w:tc>
          <w:tcPr>
            <w:tcW w:w="1309" w:type="dxa"/>
            <w:noWrap w:val="0"/>
            <w:vAlign w:val="center"/>
          </w:tcPr>
          <w:p w14:paraId="60EDFDB9">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信用监管</w:t>
            </w:r>
            <w:r>
              <w:rPr>
                <w:rFonts w:hint="default" w:ascii="Times New Roman" w:hAnsi="Times New Roman" w:eastAsia="仿宋_GB2312" w:cs="Times New Roman"/>
                <w:sz w:val="24"/>
                <w:szCs w:val="24"/>
                <w:lang w:val="en-US" w:eastAsia="zh-CN"/>
              </w:rPr>
              <w:t>股</w:t>
            </w:r>
          </w:p>
        </w:tc>
      </w:tr>
      <w:tr w14:paraId="79857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AD637DB">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2</w:t>
            </w:r>
          </w:p>
        </w:tc>
        <w:tc>
          <w:tcPr>
            <w:tcW w:w="1706" w:type="dxa"/>
            <w:noWrap w:val="0"/>
            <w:vAlign w:val="center"/>
          </w:tcPr>
          <w:p w14:paraId="250E60BA">
            <w:pPr>
              <w:widowControl w:val="0"/>
              <w:kinsoku/>
              <w:snapToGrid/>
              <w:spacing w:line="280" w:lineRule="exact"/>
              <w:ind w:firstLine="480" w:firstLineChars="200"/>
              <w:jc w:val="both"/>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企业应及时公示即时信息</w:t>
            </w:r>
          </w:p>
        </w:tc>
        <w:tc>
          <w:tcPr>
            <w:tcW w:w="2187" w:type="dxa"/>
            <w:noWrap w:val="0"/>
            <w:vAlign w:val="center"/>
          </w:tcPr>
          <w:p w14:paraId="210245E0">
            <w:pPr>
              <w:widowControl w:val="0"/>
              <w:kinsoku/>
              <w:snapToGrid/>
              <w:spacing w:line="280" w:lineRule="exact"/>
              <w:ind w:firstLine="480" w:firstLineChars="200"/>
              <w:jc w:val="both"/>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企业未在</w:t>
            </w:r>
            <w:r>
              <w:rPr>
                <w:rFonts w:ascii="Times New Roman" w:hAnsi="Times New Roman" w:eastAsia="仿宋_GB2312" w:cs="Times New Roman"/>
                <w:snapToGrid/>
                <w:color w:val="auto"/>
                <w:sz w:val="24"/>
                <w:szCs w:val="24"/>
              </w:rPr>
              <w:t>20</w:t>
            </w:r>
            <w:r>
              <w:rPr>
                <w:rFonts w:hint="default" w:ascii="Times New Roman" w:hAnsi="Times New Roman" w:eastAsia="仿宋_GB2312" w:cs="Times New Roman"/>
                <w:snapToGrid/>
                <w:color w:val="auto"/>
                <w:sz w:val="24"/>
                <w:szCs w:val="24"/>
              </w:rPr>
              <w:t>个工作日内公示应当公示的即时信息。</w:t>
            </w:r>
          </w:p>
        </w:tc>
        <w:tc>
          <w:tcPr>
            <w:tcW w:w="4750" w:type="dxa"/>
            <w:noWrap w:val="0"/>
            <w:vAlign w:val="top"/>
          </w:tcPr>
          <w:p w14:paraId="304F926F">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《企业信息公示暂行条例》</w:t>
            </w:r>
          </w:p>
          <w:p w14:paraId="0DF1F387">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第十条</w:t>
            </w:r>
            <w:r>
              <w:rPr>
                <w:rFonts w:hint="default" w:ascii="Times New Roman" w:hAnsi="Times New Roman" w:eastAsia="仿宋_GB2312" w:cs="Times New Roman"/>
                <w:snapToGrid/>
                <w:color w:val="auto"/>
                <w:sz w:val="24"/>
                <w:szCs w:val="24"/>
              </w:rPr>
              <w:t xml:space="preserve"> 企业应当自下列信息形成之日起20个工作日内通过国家企业信用信息公示系统向社会公示：</w:t>
            </w:r>
          </w:p>
          <w:p w14:paraId="383367C2">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（一）有限责任公司股东或者股份有限公司发起人认缴和实缴的出资额、出资时间、出资方式等信息；</w:t>
            </w:r>
          </w:p>
          <w:p w14:paraId="303350F1">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（二）有限责任公司股东股权转让等股权变更信息；</w:t>
            </w:r>
          </w:p>
          <w:p w14:paraId="4D9B1798">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（三）行政许可取得、变更、延续信息；</w:t>
            </w:r>
          </w:p>
          <w:p w14:paraId="2D289C69">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（四）知识产权出质登记信息；</w:t>
            </w:r>
          </w:p>
          <w:p w14:paraId="410F67CE">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（五）受到行政处罚的信息；</w:t>
            </w:r>
          </w:p>
          <w:p w14:paraId="411CDB23">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（六）其他依法应当公示的信息。</w:t>
            </w:r>
          </w:p>
          <w:p w14:paraId="52DD5F30">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市场监督管理部门发现企业未依照前款规定履行公示义务的，应当责令其限期履行。</w:t>
            </w:r>
          </w:p>
          <w:p w14:paraId="5BE53918">
            <w:pPr>
              <w:spacing w:line="280" w:lineRule="exact"/>
              <w:ind w:firstLine="422"/>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第十八条</w:t>
            </w:r>
            <w:r>
              <w:rPr>
                <w:rFonts w:hint="default" w:ascii="Times New Roman" w:hAnsi="Times New Roman" w:eastAsia="仿宋_GB2312" w:cs="Times New Roman"/>
                <w:snapToGrid/>
                <w:color w:val="auto"/>
                <w:sz w:val="24"/>
                <w:szCs w:val="24"/>
              </w:rPr>
              <w:t>　企业未按照本条例规定的期限公示年度报告或者未按照市场监督管理部门责令的期限公示有关企业信息的，由县级以上市场监督管理部门列入经营异常名录，并依法给予行政处罚。企业因连续2年未按规定报送年度报告被列入经营异常名录未改正，且通过登记的住所或者经营场所无法取得联系的，由县级以上市场监督管理部门吊销营业执照。</w:t>
            </w:r>
          </w:p>
          <w:p w14:paraId="7B548439">
            <w:pPr>
              <w:spacing w:line="280" w:lineRule="exact"/>
              <w:ind w:firstLine="0" w:firstLineChars="0"/>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《中华人民共和国公司法》</w:t>
            </w:r>
          </w:p>
          <w:p w14:paraId="5E128151">
            <w:pPr>
              <w:spacing w:line="280" w:lineRule="exact"/>
              <w:ind w:firstLine="422"/>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第四十条</w:t>
            </w:r>
            <w:r>
              <w:rPr>
                <w:rFonts w:ascii="Times New Roman" w:hAnsi="Times New Roman" w:eastAsia="仿宋_GB2312" w:cs="Times New Roman"/>
                <w:snapToGrid/>
                <w:color w:val="auto"/>
                <w:sz w:val="24"/>
                <w:szCs w:val="24"/>
              </w:rPr>
              <w:t>　公司应当按照规定通过国家企业信用信息公示系统公示下列事项：</w:t>
            </w:r>
          </w:p>
          <w:p w14:paraId="35F206A2">
            <w:pPr>
              <w:spacing w:line="280" w:lineRule="exact"/>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（一）有限责任公司股东认缴和实缴的出资额、出资方式和出资日期，股份有限公司发起人认购的股份数；</w:t>
            </w:r>
          </w:p>
          <w:p w14:paraId="7866ACCD">
            <w:pPr>
              <w:spacing w:line="280" w:lineRule="exact"/>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（二）有限责任公司股东、股份有限公司发起人的股权、股份变更信息；</w:t>
            </w:r>
          </w:p>
          <w:p w14:paraId="35964A58">
            <w:pPr>
              <w:spacing w:line="280" w:lineRule="exact"/>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（三）行政许可取得、变更、注销等信息；</w:t>
            </w:r>
          </w:p>
          <w:p w14:paraId="2001008D">
            <w:pPr>
              <w:spacing w:line="280" w:lineRule="exact"/>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（四）法律、行政法规规定的其他信息。</w:t>
            </w:r>
          </w:p>
          <w:p w14:paraId="7914D14F">
            <w:pPr>
              <w:spacing w:line="280" w:lineRule="exact"/>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公司应当确保前款公示信息真实、准确、完整。</w:t>
            </w:r>
          </w:p>
          <w:p w14:paraId="53B45C06">
            <w:pPr>
              <w:spacing w:line="280" w:lineRule="exact"/>
              <w:ind w:firstLine="422"/>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第二百五十一条</w:t>
            </w:r>
            <w:r>
              <w:rPr>
                <w:rFonts w:ascii="Times New Roman" w:hAnsi="Times New Roman" w:eastAsia="仿宋_GB2312" w:cs="Times New Roman"/>
                <w:snapToGrid/>
                <w:color w:val="auto"/>
                <w:sz w:val="24"/>
                <w:szCs w:val="24"/>
              </w:rPr>
              <w:t>　公司未依照本法第四十条规定公示有关信息或者不如实公示有关信息的，由公司登记机关责令改正，可以处以一万元以上五万元以下的罚款。情节严重的，处以五万元以上二十万元以下的罚款；对直接负责的主管人员和其他直接责任人员处以一万元以上十万元以下的罚款。</w:t>
            </w:r>
          </w:p>
          <w:p w14:paraId="323CAE43">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《中华人民共和国市场主体登记管理条例实施细则》</w:t>
            </w:r>
          </w:p>
          <w:p w14:paraId="6002076F">
            <w:pPr>
              <w:widowControl w:val="0"/>
              <w:kinsoku/>
              <w:snapToGrid/>
              <w:spacing w:line="280" w:lineRule="exact"/>
              <w:ind w:firstLine="482"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第七十条</w:t>
            </w:r>
            <w:r>
              <w:rPr>
                <w:rFonts w:ascii="Times New Roman" w:hAnsi="Times New Roman" w:eastAsia="仿宋_GB2312" w:cs="Times New Roman"/>
                <w:snapToGrid/>
                <w:color w:val="auto"/>
                <w:sz w:val="24"/>
                <w:szCs w:val="24"/>
              </w:rPr>
              <w:t xml:space="preserve"> </w:t>
            </w:r>
            <w:r>
              <w:rPr>
                <w:rFonts w:hint="default" w:ascii="Times New Roman" w:hAnsi="Times New Roman" w:eastAsia="仿宋_GB2312" w:cs="Times New Roman"/>
                <w:snapToGrid/>
                <w:color w:val="auto"/>
                <w:sz w:val="24"/>
                <w:szCs w:val="24"/>
              </w:rPr>
              <w:t>市场主体未按照法律、行政法规规定的期限公示或者报送年度报告的，由登记机关列入经营异常名录，可以处</w:t>
            </w:r>
            <w:r>
              <w:rPr>
                <w:rFonts w:ascii="Times New Roman" w:hAnsi="Times New Roman" w:eastAsia="仿宋_GB2312" w:cs="Times New Roman"/>
                <w:snapToGrid/>
                <w:color w:val="auto"/>
                <w:sz w:val="24"/>
                <w:szCs w:val="24"/>
              </w:rPr>
              <w:t>1</w:t>
            </w:r>
            <w:r>
              <w:rPr>
                <w:rFonts w:hint="default" w:ascii="Times New Roman" w:hAnsi="Times New Roman" w:eastAsia="仿宋_GB2312" w:cs="Times New Roman"/>
                <w:snapToGrid/>
                <w:color w:val="auto"/>
                <w:sz w:val="24"/>
                <w:szCs w:val="24"/>
              </w:rPr>
              <w:t>万元以下的罚款。</w:t>
            </w:r>
          </w:p>
          <w:p w14:paraId="57182CA3">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《企业经营异常名录管理暂行办法》</w:t>
            </w:r>
          </w:p>
          <w:p w14:paraId="0F8B77EA">
            <w:pPr>
              <w:widowControl w:val="0"/>
              <w:kinsoku/>
              <w:snapToGrid/>
              <w:spacing w:line="280" w:lineRule="exact"/>
              <w:ind w:firstLine="482" w:firstLineChars="200"/>
              <w:textAlignment w:val="auto"/>
              <w:rPr>
                <w:rFonts w:ascii="Times New Roman" w:hAnsi="Times New Roman" w:eastAsia="宋体" w:cs="Times New Roman"/>
                <w:color w:val="auto"/>
                <w:sz w:val="24"/>
                <w:szCs w:val="24"/>
              </w:rPr>
            </w:pPr>
            <w:r>
              <w:rPr>
                <w:rFonts w:hint="default" w:ascii="Times New Roman" w:hAnsi="Times New Roman" w:eastAsia="仿宋_GB2312" w:cs="Times New Roman"/>
                <w:b/>
                <w:snapToGrid/>
                <w:color w:val="auto"/>
                <w:sz w:val="24"/>
                <w:szCs w:val="24"/>
              </w:rPr>
              <w:t xml:space="preserve">第七条 </w:t>
            </w:r>
            <w:r>
              <w:rPr>
                <w:rFonts w:hint="default" w:ascii="Times New Roman" w:hAnsi="Times New Roman" w:eastAsia="仿宋_GB2312" w:cs="Times New Roman"/>
                <w:snapToGrid/>
                <w:color w:val="auto"/>
                <w:sz w:val="24"/>
                <w:szCs w:val="24"/>
              </w:rPr>
              <w:t> 企业未依照《企业信息公示暂行条例》第十条规定履行公示义务的，工商行政管理部门应当书面责令其在10日内履行公示义务。企业未在责令的期限内公示信息的，工商行政管理部门应当在责令的期限届满之日起10个工作日内作出将其列入经营异常名录的决定，并予以公示。</w:t>
            </w:r>
          </w:p>
        </w:tc>
        <w:tc>
          <w:tcPr>
            <w:tcW w:w="1196" w:type="dxa"/>
            <w:noWrap w:val="0"/>
            <w:vAlign w:val="center"/>
          </w:tcPr>
          <w:p w14:paraId="43EE8D54">
            <w:pPr>
              <w:pStyle w:val="6"/>
              <w:widowControl w:val="0"/>
              <w:kinsoku/>
              <w:overflowPunct w:val="0"/>
              <w:topLinePunct/>
              <w:autoSpaceDE/>
              <w:autoSpaceDN/>
              <w:spacing w:line="280" w:lineRule="exact"/>
              <w:jc w:val="center"/>
              <w:rPr>
                <w:rFonts w:ascii="Times New Roman" w:hAnsi="Times New Roman" w:eastAsia="仿宋_GB2312" w:cs="Times New Roman"/>
                <w:color w:val="auto"/>
                <w:sz w:val="24"/>
                <w:szCs w:val="24"/>
                <w:lang w:eastAsia="zh-CN"/>
              </w:rPr>
            </w:pPr>
            <w:r>
              <w:rPr>
                <w:rFonts w:hint="default" w:ascii="Times New Roman" w:hAnsi="Times New Roman" w:eastAsia="宋体" w:cs="Times New Roman"/>
                <w:color w:val="auto"/>
                <w:sz w:val="24"/>
                <w:szCs w:val="24"/>
                <w:lang w:eastAsia="zh-CN"/>
              </w:rPr>
              <w:t>★★★</w:t>
            </w:r>
          </w:p>
        </w:tc>
        <w:tc>
          <w:tcPr>
            <w:tcW w:w="2860" w:type="dxa"/>
            <w:noWrap w:val="0"/>
            <w:vAlign w:val="center"/>
          </w:tcPr>
          <w:p w14:paraId="1C88BF5F">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企业应当自下列信息形成之日起20个工作日内通过国家企业信用信息公示系统向社会公示：</w:t>
            </w:r>
          </w:p>
          <w:p w14:paraId="2F6768F2">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（一）有限责任公司股东或者股份有限公司发起人认缴和实缴的出资额、出资时间、出资方式等信息；</w:t>
            </w:r>
          </w:p>
          <w:p w14:paraId="6D160084">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（二）有限责任公司股东股权转让等股权变更信息；</w:t>
            </w:r>
          </w:p>
          <w:p w14:paraId="0C059271">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（三）行政许可取得、变更、延续信息；</w:t>
            </w:r>
          </w:p>
          <w:p w14:paraId="2AB9957C">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（四）知识产权出质登记信息；</w:t>
            </w:r>
          </w:p>
          <w:p w14:paraId="10ACFB9C">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（五）受到行政处罚的信息；</w:t>
            </w:r>
          </w:p>
          <w:p w14:paraId="1DAC7698">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（六）其他依法应当公示的信息。</w:t>
            </w:r>
          </w:p>
          <w:p w14:paraId="3CEFEF50">
            <w:pPr>
              <w:spacing w:line="280" w:lineRule="exact"/>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在收到市场监管部门责令改正通知后，在期限内履行公示义务。</w:t>
            </w:r>
          </w:p>
        </w:tc>
        <w:tc>
          <w:tcPr>
            <w:tcW w:w="1309" w:type="dxa"/>
            <w:noWrap w:val="0"/>
            <w:vAlign w:val="center"/>
          </w:tcPr>
          <w:p w14:paraId="22F82DD8">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信用监管</w:t>
            </w:r>
            <w:r>
              <w:rPr>
                <w:rFonts w:hint="default" w:ascii="Times New Roman" w:hAnsi="Times New Roman" w:eastAsia="仿宋_GB2312" w:cs="Times New Roman"/>
                <w:sz w:val="24"/>
                <w:szCs w:val="24"/>
                <w:lang w:val="en-US" w:eastAsia="zh-CN"/>
              </w:rPr>
              <w:t>股</w:t>
            </w:r>
          </w:p>
        </w:tc>
      </w:tr>
      <w:tr w14:paraId="2C0EF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B8D8A1D">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3</w:t>
            </w:r>
          </w:p>
        </w:tc>
        <w:tc>
          <w:tcPr>
            <w:tcW w:w="1706" w:type="dxa"/>
            <w:noWrap w:val="0"/>
            <w:vAlign w:val="center"/>
          </w:tcPr>
          <w:p w14:paraId="44BEBAF3">
            <w:pPr>
              <w:widowControl w:val="0"/>
              <w:kinsoku/>
              <w:snapToGrid/>
              <w:spacing w:line="280" w:lineRule="exact"/>
              <w:ind w:firstLine="480" w:firstLineChars="200"/>
              <w:textAlignment w:val="auto"/>
              <w:rPr>
                <w:rFonts w:ascii="Times New Roman" w:hAnsi="Times New Roman" w:eastAsia="仿宋_GB2312" w:cs="Times New Roman"/>
                <w:sz w:val="24"/>
                <w:szCs w:val="24"/>
              </w:rPr>
            </w:pPr>
            <w:r>
              <w:rPr>
                <w:rFonts w:hint="default" w:ascii="Times New Roman" w:hAnsi="Times New Roman" w:eastAsia="瀹嬩綋" w:cs="Times New Roman"/>
                <w:snapToGrid/>
                <w:color w:val="auto"/>
                <w:sz w:val="24"/>
                <w:szCs w:val="24"/>
              </w:rPr>
              <w:t>企业公示信息应当真实、准确</w:t>
            </w:r>
          </w:p>
        </w:tc>
        <w:tc>
          <w:tcPr>
            <w:tcW w:w="2187" w:type="dxa"/>
            <w:noWrap w:val="0"/>
            <w:vAlign w:val="center"/>
          </w:tcPr>
          <w:p w14:paraId="0C341CD3">
            <w:pPr>
              <w:widowControl w:val="0"/>
              <w:kinsoku/>
              <w:snapToGrid/>
              <w:spacing w:line="280" w:lineRule="exact"/>
              <w:ind w:firstLine="480" w:firstLineChars="200"/>
              <w:textAlignment w:val="auto"/>
              <w:rPr>
                <w:rFonts w:ascii="Times New Roman" w:hAnsi="Times New Roman" w:eastAsia="瀹嬩綋" w:cs="Times New Roman"/>
                <w:snapToGrid/>
                <w:color w:val="auto"/>
                <w:sz w:val="24"/>
                <w:szCs w:val="24"/>
              </w:rPr>
            </w:pPr>
            <w:r>
              <w:rPr>
                <w:rFonts w:hint="default" w:ascii="Times New Roman" w:hAnsi="Times New Roman" w:eastAsia="瀹嬩綋" w:cs="Times New Roman"/>
                <w:snapToGrid/>
                <w:color w:val="auto"/>
                <w:sz w:val="24"/>
                <w:szCs w:val="24"/>
              </w:rPr>
              <w:t>企业填报并公示的年度年报信息或者即时信息中存在隐瞒真实情况、弄虚作假的情形。</w:t>
            </w:r>
          </w:p>
        </w:tc>
        <w:tc>
          <w:tcPr>
            <w:tcW w:w="4750" w:type="dxa"/>
            <w:noWrap w:val="0"/>
            <w:vAlign w:val="center"/>
          </w:tcPr>
          <w:p w14:paraId="2E8A8B4E">
            <w:pPr>
              <w:widowControl w:val="0"/>
              <w:kinsoku/>
              <w:snapToGrid/>
              <w:spacing w:line="280" w:lineRule="exact"/>
              <w:jc w:val="both"/>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《企业信息公示暂行条例》</w:t>
            </w:r>
          </w:p>
          <w:p w14:paraId="4FF299DB">
            <w:pPr>
              <w:widowControl w:val="0"/>
              <w:kinsoku/>
              <w:snapToGrid/>
              <w:spacing w:line="280" w:lineRule="exact"/>
              <w:ind w:firstLine="482" w:firstLineChars="200"/>
              <w:jc w:val="both"/>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第十一条</w:t>
            </w:r>
            <w:r>
              <w:rPr>
                <w:rFonts w:hint="default" w:ascii="Times New Roman" w:hAnsi="Times New Roman" w:eastAsia="仿宋_GB2312" w:cs="Times New Roman"/>
                <w:snapToGrid/>
                <w:color w:val="auto"/>
                <w:sz w:val="24"/>
                <w:szCs w:val="24"/>
              </w:rPr>
              <w:t>　政府部门和企业分别对其公示信息的真实性、及时性负责。</w:t>
            </w:r>
          </w:p>
          <w:p w14:paraId="66880E1B">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第十八条</w:t>
            </w:r>
            <w:r>
              <w:rPr>
                <w:rFonts w:hint="default" w:ascii="Times New Roman" w:hAnsi="Times New Roman" w:eastAsia="仿宋_GB2312" w:cs="Times New Roman"/>
                <w:snapToGrid/>
                <w:color w:val="auto"/>
                <w:sz w:val="24"/>
                <w:szCs w:val="24"/>
                <w:lang w:eastAsia="zh-CN"/>
              </w:rPr>
              <w:t xml:space="preserve"> 企业公示信息隐瞒真实情况、弄虚作假的，法律、行政法规有规定的，依照其规定；没有规定的，由市场监督管理部门责令改正，处1万元以上5万元以下罚款；情节严重的，处5万元以上20万元以下罚款，列入市场监督管理严重违法失信名单，并可以吊销营业执照。被列入市场监督管理严重违法失信名单的企业的法定代表人、负责人，3年内不得担任其他企业的法定代表人、负责人。</w:t>
            </w:r>
          </w:p>
          <w:p w14:paraId="5CE71A33">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《企业经营异常名录管理暂行办法》</w:t>
            </w:r>
          </w:p>
          <w:p w14:paraId="3FF990B0">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第四条</w:t>
            </w:r>
            <w:r>
              <w:rPr>
                <w:rFonts w:hint="default" w:ascii="Times New Roman" w:hAnsi="Times New Roman" w:eastAsia="仿宋_GB2312" w:cs="Times New Roman"/>
                <w:snapToGrid/>
                <w:color w:val="auto"/>
                <w:sz w:val="24"/>
                <w:szCs w:val="24"/>
                <w:lang w:eastAsia="zh-CN"/>
              </w:rPr>
              <w:t xml:space="preserve"> 县级以上工商行政管理部门应当将有下列情形之一的企业列入经营异常名录：</w:t>
            </w:r>
          </w:p>
          <w:p w14:paraId="719CC55F">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（一）未按照《企业信息公示暂行条例》第八条规定的期限公示年度报告的；</w:t>
            </w:r>
          </w:p>
          <w:p w14:paraId="0FB60EA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（二）未在工商行政管理部门依照《企业信息公示暂行条例》第十条规定责令的期限内公示有关企业信息的；</w:t>
            </w:r>
          </w:p>
          <w:p w14:paraId="5E7D99E3">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（三）公示企业信息隐瞒真实情况、弄虚作假的；</w:t>
            </w:r>
          </w:p>
          <w:p w14:paraId="01D396A6">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（四）通过登记的住所或者经营场所无法联系的。</w:t>
            </w:r>
          </w:p>
        </w:tc>
        <w:tc>
          <w:tcPr>
            <w:tcW w:w="1196" w:type="dxa"/>
            <w:noWrap w:val="0"/>
            <w:vAlign w:val="center"/>
          </w:tcPr>
          <w:p w14:paraId="6A14127F">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4D0514B">
            <w:pPr>
              <w:spacing w:line="280" w:lineRule="exact"/>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企业应当准确填报年度年报信息、即时信息，不得故意隐瞒真实情况或者弄虚作假。</w:t>
            </w:r>
          </w:p>
        </w:tc>
        <w:tc>
          <w:tcPr>
            <w:tcW w:w="1309" w:type="dxa"/>
            <w:noWrap w:val="0"/>
            <w:vAlign w:val="center"/>
          </w:tcPr>
          <w:p w14:paraId="3D02D3DA">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信用监管</w:t>
            </w:r>
            <w:r>
              <w:rPr>
                <w:rFonts w:hint="default" w:ascii="Times New Roman" w:hAnsi="Times New Roman" w:eastAsia="仿宋_GB2312" w:cs="Times New Roman"/>
                <w:sz w:val="24"/>
                <w:szCs w:val="24"/>
                <w:lang w:val="en-US" w:eastAsia="zh-CN"/>
              </w:rPr>
              <w:t>股</w:t>
            </w:r>
          </w:p>
        </w:tc>
      </w:tr>
      <w:tr w14:paraId="4B0E4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F97DD40">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4</w:t>
            </w:r>
          </w:p>
        </w:tc>
        <w:tc>
          <w:tcPr>
            <w:tcW w:w="1706" w:type="dxa"/>
            <w:noWrap w:val="0"/>
            <w:vAlign w:val="center"/>
          </w:tcPr>
          <w:p w14:paraId="547742A1">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市场主体在注册登记时提供的材料应当真实有效</w:t>
            </w:r>
          </w:p>
        </w:tc>
        <w:tc>
          <w:tcPr>
            <w:tcW w:w="2187" w:type="dxa"/>
            <w:noWrap w:val="0"/>
            <w:vAlign w:val="center"/>
          </w:tcPr>
          <w:p w14:paraId="70EE6C4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市场主体在注册登记时提交虚假材料或者采取其他欺诈手段隐瞒重要事实取得市场主体登记。</w:t>
            </w:r>
          </w:p>
        </w:tc>
        <w:tc>
          <w:tcPr>
            <w:tcW w:w="4750" w:type="dxa"/>
            <w:noWrap w:val="0"/>
            <w:vAlign w:val="top"/>
          </w:tcPr>
          <w:p w14:paraId="02D2F312">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《中华人民共和国公司法》</w:t>
            </w:r>
          </w:p>
          <w:p w14:paraId="61BA9F54">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第二百五十条</w:t>
            </w:r>
            <w:r>
              <w:rPr>
                <w:rFonts w:ascii="Times New Roman" w:hAnsi="Times New Roman" w:eastAsia="仿宋_GB2312" w:cs="Times New Roman"/>
                <w:snapToGrid/>
                <w:color w:val="auto"/>
                <w:sz w:val="24"/>
                <w:szCs w:val="24"/>
                <w:lang w:eastAsia="zh-CN"/>
              </w:rPr>
              <w:t>　违反本法规定，虚报注册资本、提交虚假材料或者采取其他欺诈手段隐瞒重要事实取得公司登记的，由公司登记机关责令改正，对虚报注册资本的公司，处以虚报注册资本金额百分之五以上百分之十五以下的罚款；对提交虚假材料或者采取其他欺诈手段隐瞒重要事实的公司，处以五万元以上二百万元以下的罚款；情节严重的，吊销营业执照；对直接负责的主管人员和其他直接责任人员处以三万元以上三十万元以下的罚款。</w:t>
            </w:r>
          </w:p>
          <w:p w14:paraId="51ED53B7">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《中华人民共和国个人独资企业法》</w:t>
            </w:r>
          </w:p>
          <w:p w14:paraId="20052C5D">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第三十三条</w:t>
            </w:r>
            <w:r>
              <w:rPr>
                <w:rFonts w:hint="default" w:ascii="Times New Roman" w:hAnsi="Times New Roman" w:eastAsia="仿宋_GB2312" w:cs="Times New Roman"/>
                <w:snapToGrid/>
                <w:color w:val="auto"/>
                <w:sz w:val="24"/>
                <w:szCs w:val="24"/>
                <w:lang w:eastAsia="zh-CN"/>
              </w:rPr>
              <w:t xml:space="preserve"> 违反本法规定，提交虚假文件或采取其他欺骗手段，取得企业登记的，责令改正，处以五千元以下的罚款；情节严重的，并处吊销营业执照。</w:t>
            </w:r>
          </w:p>
          <w:p w14:paraId="7C374074">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《中华人民共和国合伙企业法》</w:t>
            </w:r>
          </w:p>
          <w:p w14:paraId="5DE5135F">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第九十三条</w:t>
            </w:r>
            <w:r>
              <w:rPr>
                <w:rFonts w:hint="default" w:ascii="Times New Roman" w:hAnsi="Times New Roman" w:eastAsia="仿宋_GB2312" w:cs="Times New Roman"/>
                <w:snapToGrid/>
                <w:color w:val="auto"/>
                <w:sz w:val="24"/>
                <w:szCs w:val="24"/>
                <w:lang w:eastAsia="zh-CN"/>
              </w:rPr>
              <w:t xml:space="preserve"> 违反本法规定，提交虚假文件或者采取其他欺骗手段，取得合伙企业登记的，由企业登记机关责令改正，处以五千元以上五万元以下的罚款；情节严重的，撤销企业登记，并处以五万元以上二十万元以下的罚款。</w:t>
            </w:r>
          </w:p>
          <w:p w14:paraId="06DE92E0">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《中华人民共和国农民专业合作社法》</w:t>
            </w:r>
          </w:p>
          <w:p w14:paraId="2B02A170">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第七十条</w:t>
            </w:r>
            <w:r>
              <w:rPr>
                <w:rFonts w:hint="default" w:ascii="Times New Roman" w:hAnsi="Times New Roman" w:eastAsia="仿宋_GB2312" w:cs="Times New Roman"/>
                <w:snapToGrid/>
                <w:color w:val="auto"/>
                <w:sz w:val="24"/>
                <w:szCs w:val="24"/>
                <w:lang w:eastAsia="zh-CN"/>
              </w:rPr>
              <w:t xml:space="preserve"> 农民专业合作社向登记机关提供虚假登记材料或者采取其他欺诈手段取得登记的，由登记机关责令改正，可以处五千元以下罚款；情节严重的，撤销登记或者吊销营业执照。</w:t>
            </w:r>
          </w:p>
          <w:p w14:paraId="53025BCE">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《市场主体登记管理条例》</w:t>
            </w:r>
          </w:p>
          <w:p w14:paraId="3A9E0C77">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第十七条</w:t>
            </w:r>
            <w:r>
              <w:rPr>
                <w:rFonts w:hint="default" w:ascii="Times New Roman" w:hAnsi="Times New Roman" w:eastAsia="仿宋_GB2312" w:cs="Times New Roman"/>
                <w:snapToGrid/>
                <w:color w:val="auto"/>
                <w:sz w:val="24"/>
                <w:szCs w:val="24"/>
                <w:lang w:eastAsia="zh-CN"/>
              </w:rPr>
              <w:t xml:space="preserve"> 申请人应当对提交材料的真实性、合法性和有效性负责。</w:t>
            </w:r>
          </w:p>
          <w:p w14:paraId="52F839A8">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第十八条</w:t>
            </w:r>
            <w:r>
              <w:rPr>
                <w:rFonts w:hint="default" w:ascii="Times New Roman" w:hAnsi="Times New Roman" w:eastAsia="仿宋_GB2312" w:cs="Times New Roman"/>
                <w:snapToGrid/>
                <w:color w:val="auto"/>
                <w:sz w:val="24"/>
                <w:szCs w:val="24"/>
                <w:lang w:eastAsia="zh-CN"/>
              </w:rPr>
              <w:t xml:space="preserve"> 申请人可以委托其他自然人或者中介机构代其办理市场主体登记。受委托的自然人或者中介机构代为办理登记事宜应当遵守有关规定，不得提供虚假信息和材料。</w:t>
            </w:r>
          </w:p>
          <w:p w14:paraId="02F3FA0E">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第四十四条</w:t>
            </w:r>
            <w:r>
              <w:rPr>
                <w:rFonts w:hint="default" w:ascii="Times New Roman" w:hAnsi="Times New Roman" w:eastAsia="仿宋_GB2312" w:cs="Times New Roman"/>
                <w:snapToGrid/>
                <w:color w:val="auto"/>
                <w:sz w:val="24"/>
                <w:szCs w:val="24"/>
                <w:lang w:eastAsia="zh-CN"/>
              </w:rPr>
              <w:t xml:space="preserve"> 提交虚假材料或者采取其他欺诈手段隐瞒重要事实取得市场主体登记的，由登记机关责令改正，没收违法所得，并处</w:t>
            </w:r>
            <w:r>
              <w:rPr>
                <w:rFonts w:ascii="Times New Roman" w:hAnsi="Times New Roman" w:eastAsia="仿宋_GB2312" w:cs="Times New Roman"/>
                <w:snapToGrid/>
                <w:color w:val="auto"/>
                <w:sz w:val="24"/>
                <w:szCs w:val="24"/>
                <w:lang w:eastAsia="zh-CN"/>
              </w:rPr>
              <w:t xml:space="preserve">5 </w:t>
            </w:r>
            <w:r>
              <w:rPr>
                <w:rFonts w:hint="default" w:ascii="Times New Roman" w:hAnsi="Times New Roman" w:eastAsia="仿宋_GB2312" w:cs="Times New Roman"/>
                <w:snapToGrid/>
                <w:color w:val="auto"/>
                <w:sz w:val="24"/>
                <w:szCs w:val="24"/>
                <w:lang w:eastAsia="zh-CN"/>
              </w:rPr>
              <w:t>万元以上</w:t>
            </w:r>
            <w:r>
              <w:rPr>
                <w:rFonts w:ascii="Times New Roman" w:hAnsi="Times New Roman" w:eastAsia="仿宋_GB2312" w:cs="Times New Roman"/>
                <w:snapToGrid/>
                <w:color w:val="auto"/>
                <w:sz w:val="24"/>
                <w:szCs w:val="24"/>
                <w:lang w:eastAsia="zh-CN"/>
              </w:rPr>
              <w:t xml:space="preserve">20 </w:t>
            </w:r>
            <w:r>
              <w:rPr>
                <w:rFonts w:hint="default" w:ascii="Times New Roman" w:hAnsi="Times New Roman" w:eastAsia="仿宋_GB2312" w:cs="Times New Roman"/>
                <w:snapToGrid/>
                <w:color w:val="auto"/>
                <w:sz w:val="24"/>
                <w:szCs w:val="24"/>
                <w:lang w:eastAsia="zh-CN"/>
              </w:rPr>
              <w:t>万元以下的罚款；情节严重的，处</w:t>
            </w:r>
            <w:r>
              <w:rPr>
                <w:rFonts w:ascii="Times New Roman" w:hAnsi="Times New Roman" w:eastAsia="仿宋_GB2312" w:cs="Times New Roman"/>
                <w:snapToGrid/>
                <w:color w:val="auto"/>
                <w:sz w:val="24"/>
                <w:szCs w:val="24"/>
                <w:lang w:eastAsia="zh-CN"/>
              </w:rPr>
              <w:t xml:space="preserve">20 </w:t>
            </w:r>
            <w:r>
              <w:rPr>
                <w:rFonts w:hint="default" w:ascii="Times New Roman" w:hAnsi="Times New Roman" w:eastAsia="仿宋_GB2312" w:cs="Times New Roman"/>
                <w:snapToGrid/>
                <w:color w:val="auto"/>
                <w:sz w:val="24"/>
                <w:szCs w:val="24"/>
                <w:lang w:eastAsia="zh-CN"/>
              </w:rPr>
              <w:t>万元以上</w:t>
            </w:r>
            <w:r>
              <w:rPr>
                <w:rFonts w:ascii="Times New Roman" w:hAnsi="Times New Roman" w:eastAsia="仿宋_GB2312" w:cs="Times New Roman"/>
                <w:snapToGrid/>
                <w:color w:val="auto"/>
                <w:sz w:val="24"/>
                <w:szCs w:val="24"/>
                <w:lang w:eastAsia="zh-CN"/>
              </w:rPr>
              <w:t xml:space="preserve">100 </w:t>
            </w:r>
            <w:r>
              <w:rPr>
                <w:rFonts w:hint="default" w:ascii="Times New Roman" w:hAnsi="Times New Roman" w:eastAsia="仿宋_GB2312" w:cs="Times New Roman"/>
                <w:snapToGrid/>
                <w:color w:val="auto"/>
                <w:sz w:val="24"/>
                <w:szCs w:val="24"/>
                <w:lang w:eastAsia="zh-CN"/>
              </w:rPr>
              <w:t>万元以下的罚款，吊销营业执照。</w:t>
            </w:r>
          </w:p>
          <w:p w14:paraId="32A8011A">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第五十二条</w:t>
            </w:r>
            <w:r>
              <w:rPr>
                <w:rFonts w:hint="default" w:ascii="Times New Roman" w:hAnsi="Times New Roman" w:eastAsia="仿宋_GB2312" w:cs="Times New Roman"/>
                <w:snapToGrid/>
                <w:color w:val="auto"/>
                <w:sz w:val="24"/>
                <w:szCs w:val="24"/>
                <w:lang w:eastAsia="zh-CN"/>
              </w:rPr>
              <w:t xml:space="preserve"> 法律、行政法规对市场主体登记管理违法行为处罚另有规定的，从其规定。</w:t>
            </w:r>
          </w:p>
          <w:p w14:paraId="6CD52F4E">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《市场主体登记管理条例实施细则》</w:t>
            </w:r>
          </w:p>
          <w:p w14:paraId="74CA878A">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第七十一条</w:t>
            </w:r>
            <w:r>
              <w:rPr>
                <w:rFonts w:hint="default" w:ascii="Times New Roman" w:hAnsi="Times New Roman" w:eastAsia="仿宋_GB2312" w:cs="Times New Roman"/>
                <w:snapToGrid/>
                <w:color w:val="auto"/>
                <w:sz w:val="24"/>
                <w:szCs w:val="24"/>
                <w:lang w:eastAsia="zh-CN"/>
              </w:rPr>
              <w:t xml:space="preserve"> 提交虚假材料或者采取其他欺诈手段隐瞒重要事实取得市场主体登记的，由登记机关依法责令改正，没收违法所得，并处5万元以上20万元以下的罚款；情节严重的，处20万元以上100万元以下的罚款，吊销营业执照。</w:t>
            </w:r>
          </w:p>
          <w:p w14:paraId="21F8144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明知或者应当知道申请人提交虚假材料或者采取其他欺诈手段隐瞒重要事实进行市场主体登记，仍接受委托代为办理，或者协助其进行虚假登记的，由登记机关没收违法所得，处10万元以下的罚款。</w:t>
            </w:r>
          </w:p>
          <w:p w14:paraId="717F97F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虚假市场主体登记的直接责任人自市场主体登记被撤销之日起3年内不得再次申请市场主体登记。登记机关应当通过国家企业信用信息公示系统予以公示。</w:t>
            </w:r>
          </w:p>
        </w:tc>
        <w:tc>
          <w:tcPr>
            <w:tcW w:w="1196" w:type="dxa"/>
            <w:noWrap w:val="0"/>
            <w:vAlign w:val="center"/>
          </w:tcPr>
          <w:p w14:paraId="1236A6FF">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42C899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市场主体在办理登记、备案事项时，应提供真实有效的材料，配合登记机关进行相关的实名验证。</w:t>
            </w:r>
          </w:p>
        </w:tc>
        <w:tc>
          <w:tcPr>
            <w:tcW w:w="1309" w:type="dxa"/>
            <w:noWrap w:val="0"/>
            <w:vAlign w:val="center"/>
          </w:tcPr>
          <w:p w14:paraId="75FF5886">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 xml:space="preserve"> 许可注册</w:t>
            </w:r>
            <w:r>
              <w:rPr>
                <w:rFonts w:hint="default" w:ascii="Times New Roman" w:hAnsi="Times New Roman" w:eastAsia="仿宋_GB2312" w:cs="Times New Roman"/>
                <w:sz w:val="24"/>
                <w:szCs w:val="24"/>
                <w:lang w:val="en-US" w:eastAsia="zh-CN"/>
              </w:rPr>
              <w:t>所</w:t>
            </w:r>
          </w:p>
        </w:tc>
      </w:tr>
      <w:tr w14:paraId="36D3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11B4403">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5</w:t>
            </w:r>
          </w:p>
        </w:tc>
        <w:tc>
          <w:tcPr>
            <w:tcW w:w="1706" w:type="dxa"/>
            <w:noWrap w:val="0"/>
            <w:vAlign w:val="center"/>
          </w:tcPr>
          <w:p w14:paraId="4062A46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市场主体登记事项应当与实际情况相一致</w:t>
            </w:r>
          </w:p>
        </w:tc>
        <w:tc>
          <w:tcPr>
            <w:tcW w:w="2187" w:type="dxa"/>
            <w:noWrap w:val="0"/>
            <w:vAlign w:val="center"/>
          </w:tcPr>
          <w:p w14:paraId="2C11D73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市场主体登记事项发生变化，未按规定办理变更登记。</w:t>
            </w:r>
          </w:p>
        </w:tc>
        <w:tc>
          <w:tcPr>
            <w:tcW w:w="4750" w:type="dxa"/>
            <w:noWrap w:val="0"/>
            <w:vAlign w:val="top"/>
          </w:tcPr>
          <w:p w14:paraId="47EC1D5E">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《中华人民共和国公司法》</w:t>
            </w:r>
          </w:p>
          <w:p w14:paraId="0DFE9849">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第三十四条</w:t>
            </w:r>
            <w:r>
              <w:rPr>
                <w:rFonts w:hint="default" w:ascii="Times New Roman" w:hAnsi="Times New Roman" w:eastAsia="仿宋_GB2312" w:cs="Times New Roman"/>
                <w:b/>
                <w:snapToGrid/>
                <w:color w:val="auto"/>
                <w:sz w:val="24"/>
                <w:szCs w:val="24"/>
                <w:lang w:eastAsia="zh-CN"/>
              </w:rPr>
              <w:t>第一款</w:t>
            </w:r>
            <w:r>
              <w:rPr>
                <w:rFonts w:hint="default" w:ascii="Times New Roman" w:hAnsi="Times New Roman" w:eastAsia="仿宋_GB2312" w:cs="Times New Roman"/>
                <w:snapToGrid/>
                <w:color w:val="auto"/>
                <w:sz w:val="24"/>
                <w:szCs w:val="24"/>
                <w:lang w:eastAsia="zh-CN"/>
              </w:rPr>
              <w:t xml:space="preserve"> </w:t>
            </w:r>
            <w:r>
              <w:rPr>
                <w:rFonts w:ascii="Times New Roman" w:hAnsi="Times New Roman" w:eastAsia="仿宋_GB2312" w:cs="Times New Roman"/>
                <w:snapToGrid/>
                <w:color w:val="auto"/>
                <w:sz w:val="24"/>
                <w:szCs w:val="24"/>
                <w:lang w:eastAsia="zh-CN"/>
              </w:rPr>
              <w:t>公司登记事项发生变更的，应当依法办理变更登记。</w:t>
            </w:r>
          </w:p>
          <w:p w14:paraId="2E26E6D2">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第二百六十条第二款</w:t>
            </w:r>
            <w:r>
              <w:rPr>
                <w:rFonts w:hint="default" w:ascii="Times New Roman" w:hAnsi="Times New Roman" w:eastAsia="仿宋_GB2312" w:cs="Times New Roman"/>
                <w:snapToGrid/>
                <w:color w:val="auto"/>
                <w:sz w:val="24"/>
                <w:szCs w:val="24"/>
                <w:lang w:eastAsia="zh-CN"/>
              </w:rPr>
              <w:t xml:space="preserve"> </w:t>
            </w:r>
            <w:r>
              <w:rPr>
                <w:rFonts w:ascii="Times New Roman" w:hAnsi="Times New Roman" w:eastAsia="仿宋_GB2312" w:cs="Times New Roman"/>
                <w:snapToGrid/>
                <w:color w:val="auto"/>
                <w:sz w:val="24"/>
                <w:szCs w:val="24"/>
                <w:lang w:eastAsia="zh-CN"/>
              </w:rPr>
              <w:t>公司登记事项发生变更时，未依照本法规定办理有关变更登记的，由公司登记机关责令限期登记；逾期不登记的，处以一万元以上十万元以下的罚款。</w:t>
            </w:r>
          </w:p>
          <w:p w14:paraId="51776F15">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《中华人民共和国个人独资企业法》</w:t>
            </w:r>
          </w:p>
          <w:p w14:paraId="7836344E">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第十五条</w:t>
            </w:r>
            <w:r>
              <w:rPr>
                <w:rFonts w:hint="default" w:ascii="Times New Roman" w:hAnsi="Times New Roman" w:eastAsia="仿宋_GB2312" w:cs="Times New Roman"/>
                <w:snapToGrid/>
                <w:color w:val="auto"/>
                <w:sz w:val="24"/>
                <w:szCs w:val="24"/>
                <w:lang w:eastAsia="zh-CN"/>
              </w:rPr>
              <w:t xml:space="preserve"> 个人独资企业存续期间登记事项发生变更的，应当在作出变更决定之日起的十五日内依法向登记机关申请办理变更登记</w:t>
            </w:r>
          </w:p>
          <w:p w14:paraId="637B19D7">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第三十七条第二款</w:t>
            </w:r>
            <w:r>
              <w:rPr>
                <w:rFonts w:hint="default" w:ascii="Times New Roman" w:hAnsi="Times New Roman" w:eastAsia="仿宋_GB2312" w:cs="Times New Roman"/>
                <w:snapToGrid/>
                <w:color w:val="auto"/>
                <w:sz w:val="24"/>
                <w:szCs w:val="24"/>
                <w:lang w:eastAsia="zh-CN"/>
              </w:rPr>
              <w:t xml:space="preserve"> 个人独资企业登记事项发生变更时，未按本法规定办理有关变更登记的，责令限期办理变更登记；逾期不办理的，处以二千元以下的罚款。</w:t>
            </w:r>
          </w:p>
          <w:p w14:paraId="36D1B56B">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《中华人民共和国合伙企业法》</w:t>
            </w:r>
          </w:p>
          <w:p w14:paraId="230D0D26">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第十三条</w:t>
            </w:r>
            <w:r>
              <w:rPr>
                <w:rFonts w:hint="default" w:ascii="Times New Roman" w:hAnsi="Times New Roman" w:eastAsia="仿宋_GB2312" w:cs="Times New Roman"/>
                <w:snapToGrid/>
                <w:color w:val="auto"/>
                <w:sz w:val="24"/>
                <w:szCs w:val="24"/>
                <w:lang w:eastAsia="zh-CN"/>
              </w:rPr>
              <w:t xml:space="preserve"> 合伙企业登记事项发生变更的，执行合伙事务的合伙人应当自作出变更决定或者发生变更事由之日起十五日内，向企业登记机关申请办理变更登记。</w:t>
            </w:r>
          </w:p>
          <w:p w14:paraId="1475A2EC">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第九十五条第二款</w:t>
            </w:r>
            <w:r>
              <w:rPr>
                <w:rFonts w:hint="default" w:ascii="Times New Roman" w:hAnsi="Times New Roman" w:eastAsia="仿宋_GB2312" w:cs="Times New Roman"/>
                <w:snapToGrid/>
                <w:color w:val="auto"/>
                <w:sz w:val="24"/>
                <w:szCs w:val="24"/>
                <w:lang w:eastAsia="zh-CN"/>
              </w:rPr>
              <w:t xml:space="preserve"> 合伙企业登记事项发生变更时，未依照本法规定办理变更登记的，由企业登记机关责令限期登记；逾期不登记的，处以二千元以上二万元以下的罚款。</w:t>
            </w:r>
          </w:p>
          <w:p w14:paraId="51EE8BED">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《市场主体登记管理条例》</w:t>
            </w:r>
          </w:p>
          <w:p w14:paraId="3CF4D4E1">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第二十四条</w:t>
            </w:r>
            <w:r>
              <w:rPr>
                <w:rFonts w:hint="default" w:ascii="Times New Roman" w:hAnsi="Times New Roman" w:eastAsia="仿宋_GB2312" w:cs="Times New Roman"/>
                <w:b/>
                <w:snapToGrid/>
                <w:color w:val="auto"/>
                <w:sz w:val="24"/>
                <w:szCs w:val="24"/>
                <w:lang w:eastAsia="zh-CN"/>
              </w:rPr>
              <w:t xml:space="preserve"> </w:t>
            </w:r>
            <w:r>
              <w:rPr>
                <w:rFonts w:ascii="Times New Roman" w:hAnsi="Times New Roman" w:eastAsia="仿宋_GB2312" w:cs="Times New Roman"/>
                <w:snapToGrid/>
                <w:color w:val="auto"/>
                <w:sz w:val="24"/>
                <w:szCs w:val="24"/>
                <w:lang w:eastAsia="zh-CN"/>
              </w:rPr>
              <w:t>市场主体变更登记事项，应当自作出变更决议、决定或者法定变更事项发生之日起30日内向登记机关申请变更登记。</w:t>
            </w:r>
          </w:p>
          <w:p w14:paraId="3E35DB5B">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color w:val="auto"/>
                <w:sz w:val="24"/>
                <w:szCs w:val="24"/>
                <w:lang w:eastAsia="zh-CN"/>
              </w:rPr>
              <w:t>市场主体变更登记事项属于依法须经批准的，申请人应当在批准文件有效期内向登记机关申请变更登记。</w:t>
            </w:r>
          </w:p>
          <w:p w14:paraId="4CA1F433">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第四十六条</w:t>
            </w:r>
            <w:r>
              <w:rPr>
                <w:rFonts w:hint="default" w:ascii="Times New Roman" w:hAnsi="Times New Roman" w:eastAsia="仿宋_GB2312" w:cs="Times New Roman"/>
                <w:snapToGrid/>
                <w:color w:val="auto"/>
                <w:sz w:val="24"/>
                <w:szCs w:val="24"/>
                <w:lang w:eastAsia="zh-CN"/>
              </w:rPr>
              <w:t xml:space="preserve"> </w:t>
            </w:r>
            <w:r>
              <w:rPr>
                <w:rFonts w:ascii="Times New Roman" w:hAnsi="Times New Roman" w:eastAsia="仿宋_GB2312" w:cs="Times New Roman"/>
                <w:snapToGrid/>
                <w:color w:val="auto"/>
                <w:sz w:val="24"/>
                <w:szCs w:val="24"/>
                <w:lang w:eastAsia="zh-CN"/>
              </w:rPr>
              <w:t>市场主体未依照本条例办理变更登记的，由登记机关责令改正；拒不改正的，处1万元以上10万元以下的罚款；情节严重的，吊销营业执照。</w:t>
            </w:r>
          </w:p>
          <w:p w14:paraId="58E0004A">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第五十二条</w:t>
            </w:r>
            <w:r>
              <w:rPr>
                <w:rFonts w:hint="default" w:ascii="Times New Roman" w:hAnsi="Times New Roman" w:eastAsia="仿宋_GB2312" w:cs="Times New Roman"/>
                <w:snapToGrid/>
                <w:color w:val="auto"/>
                <w:sz w:val="24"/>
                <w:szCs w:val="24"/>
                <w:lang w:eastAsia="zh-CN"/>
              </w:rPr>
              <w:t xml:space="preserve"> 法律、行政法规对市场主体登记管理违法行为处罚另有规定的，从其规定。</w:t>
            </w:r>
          </w:p>
          <w:p w14:paraId="36C40DF3">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《市场主体登记管理条例实施细则》</w:t>
            </w:r>
          </w:p>
          <w:p w14:paraId="46929F55">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 xml:space="preserve">第七十二条 </w:t>
            </w:r>
            <w:r>
              <w:rPr>
                <w:rFonts w:hint="default" w:ascii="Times New Roman" w:hAnsi="Times New Roman" w:eastAsia="仿宋_GB2312" w:cs="Times New Roman"/>
                <w:snapToGrid/>
                <w:color w:val="auto"/>
                <w:sz w:val="24"/>
                <w:szCs w:val="24"/>
                <w:lang w:eastAsia="zh-CN"/>
              </w:rPr>
              <w:t>市场主体未按规定办理变更登记的，由登记机关责令改正；拒不改正的，处</w:t>
            </w:r>
            <w:r>
              <w:rPr>
                <w:rFonts w:ascii="Times New Roman" w:hAnsi="Times New Roman" w:eastAsia="仿宋_GB2312" w:cs="Times New Roman"/>
                <w:snapToGrid/>
                <w:color w:val="auto"/>
                <w:sz w:val="24"/>
                <w:szCs w:val="24"/>
                <w:lang w:eastAsia="zh-CN"/>
              </w:rPr>
              <w:t xml:space="preserve">1 </w:t>
            </w:r>
            <w:r>
              <w:rPr>
                <w:rFonts w:hint="default" w:ascii="Times New Roman" w:hAnsi="Times New Roman" w:eastAsia="仿宋_GB2312" w:cs="Times New Roman"/>
                <w:snapToGrid/>
                <w:color w:val="auto"/>
                <w:sz w:val="24"/>
                <w:szCs w:val="24"/>
                <w:lang w:eastAsia="zh-CN"/>
              </w:rPr>
              <w:t>万元以上</w:t>
            </w:r>
            <w:r>
              <w:rPr>
                <w:rFonts w:ascii="Times New Roman" w:hAnsi="Times New Roman" w:eastAsia="仿宋_GB2312" w:cs="Times New Roman"/>
                <w:snapToGrid/>
                <w:color w:val="auto"/>
                <w:sz w:val="24"/>
                <w:szCs w:val="24"/>
                <w:lang w:eastAsia="zh-CN"/>
              </w:rPr>
              <w:t xml:space="preserve">10 </w:t>
            </w:r>
            <w:r>
              <w:rPr>
                <w:rFonts w:hint="default" w:ascii="Times New Roman" w:hAnsi="Times New Roman" w:eastAsia="仿宋_GB2312" w:cs="Times New Roman"/>
                <w:snapToGrid/>
                <w:color w:val="auto"/>
                <w:sz w:val="24"/>
                <w:szCs w:val="24"/>
                <w:lang w:eastAsia="zh-CN"/>
              </w:rPr>
              <w:t>万元以下的罚款；情节严重的，吊销营业执照。</w:t>
            </w:r>
          </w:p>
        </w:tc>
        <w:tc>
          <w:tcPr>
            <w:tcW w:w="1196" w:type="dxa"/>
            <w:noWrap w:val="0"/>
            <w:vAlign w:val="center"/>
          </w:tcPr>
          <w:p w14:paraId="69ECC4ED">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640D37B">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z w:val="24"/>
                <w:szCs w:val="24"/>
                <w:lang w:eastAsia="zh-CN"/>
              </w:rPr>
            </w:pPr>
            <w:r>
              <w:rPr>
                <w:rFonts w:hint="default" w:ascii="Times New Roman" w:hAnsi="Times New Roman" w:eastAsia="仿宋_GB2312" w:cs="Times New Roman"/>
                <w:snapToGrid/>
                <w:color w:val="auto"/>
                <w:sz w:val="24"/>
                <w:szCs w:val="24"/>
                <w:lang w:eastAsia="zh-CN"/>
              </w:rPr>
              <w:t>市场主体登记的事项如发生变化，应当及时向登记机关申请变更。在登记机关作出责令改正决定后，应在规定期限内办理变更登记。</w:t>
            </w:r>
          </w:p>
        </w:tc>
        <w:tc>
          <w:tcPr>
            <w:tcW w:w="1309" w:type="dxa"/>
            <w:noWrap w:val="0"/>
            <w:vAlign w:val="center"/>
          </w:tcPr>
          <w:p w14:paraId="5214FA2C">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信用监管</w:t>
            </w:r>
            <w:r>
              <w:rPr>
                <w:rFonts w:hint="default" w:ascii="Times New Roman" w:hAnsi="Times New Roman" w:eastAsia="仿宋_GB2312" w:cs="Times New Roman"/>
                <w:sz w:val="24"/>
                <w:szCs w:val="24"/>
                <w:lang w:val="en-US" w:eastAsia="zh-CN"/>
              </w:rPr>
              <w:t>股、</w:t>
            </w:r>
            <w:r>
              <w:rPr>
                <w:rFonts w:hint="default" w:ascii="Times New Roman" w:hAnsi="Times New Roman" w:eastAsia="仿宋_GB2312" w:cs="Times New Roman"/>
                <w:sz w:val="24"/>
                <w:szCs w:val="24"/>
                <w:lang w:eastAsia="zh-CN"/>
              </w:rPr>
              <w:t>许可注册</w:t>
            </w:r>
            <w:r>
              <w:rPr>
                <w:rFonts w:hint="default" w:ascii="Times New Roman" w:hAnsi="Times New Roman" w:eastAsia="仿宋_GB2312" w:cs="Times New Roman"/>
                <w:sz w:val="24"/>
                <w:szCs w:val="24"/>
                <w:lang w:val="en-US" w:eastAsia="zh-CN"/>
              </w:rPr>
              <w:t>所</w:t>
            </w:r>
          </w:p>
        </w:tc>
      </w:tr>
      <w:tr w14:paraId="74BBA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37B49E5">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6</w:t>
            </w:r>
          </w:p>
        </w:tc>
        <w:tc>
          <w:tcPr>
            <w:tcW w:w="1706" w:type="dxa"/>
            <w:noWrap w:val="0"/>
            <w:vAlign w:val="center"/>
          </w:tcPr>
          <w:p w14:paraId="0FAB4A9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领取营业执照后正常开展生产经营活动</w:t>
            </w:r>
          </w:p>
        </w:tc>
        <w:tc>
          <w:tcPr>
            <w:tcW w:w="2187" w:type="dxa"/>
            <w:noWrap w:val="0"/>
            <w:vAlign w:val="center"/>
          </w:tcPr>
          <w:p w14:paraId="4DF54ED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公司、个人独资企业领取营业执照后无正当理由超过六个月未开业或者开业后自行停业连续六个月以上；农民专业合作社连续两年未从事经营活动。</w:t>
            </w:r>
          </w:p>
        </w:tc>
        <w:tc>
          <w:tcPr>
            <w:tcW w:w="4750" w:type="dxa"/>
            <w:noWrap w:val="0"/>
            <w:vAlign w:val="top"/>
          </w:tcPr>
          <w:p w14:paraId="4738B2F7">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《中华人民共和国公司法》</w:t>
            </w:r>
          </w:p>
          <w:p w14:paraId="498B64E1">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第二百六十条</w:t>
            </w:r>
            <w:r>
              <w:rPr>
                <w:rFonts w:hint="default" w:ascii="Times New Roman" w:hAnsi="Times New Roman" w:eastAsia="仿宋_GB2312" w:cs="Times New Roman"/>
                <w:b/>
                <w:snapToGrid/>
                <w:color w:val="auto"/>
                <w:sz w:val="24"/>
                <w:szCs w:val="24"/>
                <w:lang w:eastAsia="zh-CN"/>
              </w:rPr>
              <w:t>第一款</w:t>
            </w:r>
            <w:r>
              <w:rPr>
                <w:rFonts w:hint="default" w:ascii="Times New Roman" w:hAnsi="Times New Roman" w:eastAsia="仿宋_GB2312" w:cs="Times New Roman"/>
                <w:snapToGrid/>
                <w:color w:val="auto"/>
                <w:sz w:val="24"/>
                <w:szCs w:val="24"/>
                <w:lang w:eastAsia="zh-CN"/>
              </w:rPr>
              <w:t xml:space="preserve"> </w:t>
            </w:r>
            <w:r>
              <w:rPr>
                <w:rFonts w:ascii="Times New Roman" w:hAnsi="Times New Roman" w:eastAsia="仿宋_GB2312" w:cs="Times New Roman"/>
                <w:snapToGrid/>
                <w:color w:val="auto"/>
                <w:sz w:val="24"/>
                <w:szCs w:val="24"/>
                <w:lang w:eastAsia="zh-CN"/>
              </w:rPr>
              <w:t>公司成立后无正当理由超过六个月未开业的，或者开业后自行停业连续六个月以上的，公司登记机关可以吊销营业执照，但公司依法办理歇业的除外。</w:t>
            </w:r>
          </w:p>
          <w:p w14:paraId="67FAAF24">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瀹嬩綋" w:cs="Times New Roman"/>
                <w:b/>
                <w:snapToGrid/>
                <w:color w:val="auto"/>
                <w:sz w:val="24"/>
                <w:szCs w:val="24"/>
                <w:lang w:eastAsia="zh-CN"/>
              </w:rPr>
              <w:t>《</w:t>
            </w:r>
            <w:r>
              <w:rPr>
                <w:rFonts w:hint="default" w:ascii="Times New Roman" w:hAnsi="Times New Roman" w:eastAsia="仿宋_GB2312" w:cs="Times New Roman"/>
                <w:b/>
                <w:snapToGrid/>
                <w:color w:val="auto"/>
                <w:sz w:val="24"/>
                <w:szCs w:val="24"/>
                <w:lang w:eastAsia="zh-CN"/>
              </w:rPr>
              <w:t>中华人民共和国个人独资企业法》</w:t>
            </w:r>
          </w:p>
          <w:p w14:paraId="46A76853">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第三十六条</w:t>
            </w:r>
            <w:r>
              <w:rPr>
                <w:rFonts w:hint="default" w:ascii="Times New Roman" w:hAnsi="Times New Roman" w:eastAsia="仿宋_GB2312" w:cs="Times New Roman"/>
                <w:snapToGrid/>
                <w:color w:val="auto"/>
                <w:sz w:val="24"/>
                <w:szCs w:val="24"/>
                <w:lang w:eastAsia="zh-CN"/>
              </w:rPr>
              <w:t xml:space="preserve"> 个人独资企业成立后无正当理由超过六个月未开业的，或者开业后自行停业连续六个月以上的，吊销营业执照。</w:t>
            </w:r>
          </w:p>
          <w:p w14:paraId="7E0EFA88">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《中华人民共和国农民专业合作社法》</w:t>
            </w:r>
          </w:p>
          <w:p w14:paraId="62A18554">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第七十一条</w:t>
            </w:r>
            <w:r>
              <w:rPr>
                <w:rFonts w:hint="default" w:ascii="Times New Roman" w:hAnsi="Times New Roman" w:eastAsia="仿宋_GB2312" w:cs="Times New Roman"/>
                <w:snapToGrid/>
                <w:color w:val="auto"/>
                <w:sz w:val="24"/>
                <w:szCs w:val="24"/>
                <w:lang w:eastAsia="zh-CN"/>
              </w:rPr>
              <w:t xml:space="preserve"> 农民专业合作社连续两年未从事经营活动的，吊销其营业执照。</w:t>
            </w:r>
          </w:p>
          <w:p w14:paraId="52A208E2">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《市场主体登记管理条例》</w:t>
            </w:r>
          </w:p>
          <w:p w14:paraId="6172827B">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第三十条</w:t>
            </w:r>
            <w:r>
              <w:rPr>
                <w:rFonts w:hint="default" w:ascii="Times New Roman" w:hAnsi="Times New Roman" w:eastAsia="仿宋_GB2312" w:cs="Times New Roman"/>
                <w:b/>
                <w:snapToGrid/>
                <w:color w:val="auto"/>
                <w:sz w:val="24"/>
                <w:szCs w:val="24"/>
                <w:lang w:eastAsia="zh-CN"/>
              </w:rPr>
              <w:t>第一款</w:t>
            </w:r>
            <w:r>
              <w:rPr>
                <w:rFonts w:hint="default" w:ascii="Times New Roman" w:hAnsi="Times New Roman" w:eastAsia="仿宋_GB2312" w:cs="Times New Roman"/>
                <w:snapToGrid/>
                <w:color w:val="auto"/>
                <w:sz w:val="24"/>
                <w:szCs w:val="24"/>
                <w:lang w:eastAsia="zh-CN"/>
              </w:rPr>
              <w:t xml:space="preserve"> </w:t>
            </w:r>
            <w:r>
              <w:rPr>
                <w:rFonts w:ascii="Times New Roman" w:hAnsi="Times New Roman" w:eastAsia="仿宋_GB2312" w:cs="Times New Roman"/>
                <w:snapToGrid/>
                <w:color w:val="auto"/>
                <w:sz w:val="24"/>
                <w:szCs w:val="24"/>
                <w:lang w:eastAsia="zh-CN"/>
              </w:rPr>
              <w:t>因自然灾害、事故灾难、公共卫生事件、社会安全事件等原因造成经营困难的，市场主体可以自主决定在一定时期内歇业。法律、行政法规另有规定的除外。</w:t>
            </w:r>
          </w:p>
          <w:p w14:paraId="714BAFC9">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第三十条</w:t>
            </w:r>
            <w:r>
              <w:rPr>
                <w:rFonts w:hint="default" w:ascii="Times New Roman" w:hAnsi="Times New Roman" w:eastAsia="仿宋_GB2312" w:cs="Times New Roman"/>
                <w:b/>
                <w:snapToGrid/>
                <w:color w:val="auto"/>
                <w:sz w:val="24"/>
                <w:szCs w:val="24"/>
                <w:lang w:eastAsia="zh-CN"/>
              </w:rPr>
              <w:t xml:space="preserve">第三款 </w:t>
            </w:r>
            <w:r>
              <w:rPr>
                <w:rFonts w:ascii="Times New Roman" w:hAnsi="Times New Roman" w:eastAsia="仿宋_GB2312" w:cs="Times New Roman"/>
                <w:snapToGrid/>
                <w:color w:val="auto"/>
                <w:sz w:val="24"/>
                <w:szCs w:val="24"/>
                <w:lang w:eastAsia="zh-CN"/>
              </w:rPr>
              <w:t>市场主体应当在歇业前向登记机关办理备案。登记机关通过国家企业信用信息公示系统向社会公示歇业期限、法律文书送达地址等信息。</w:t>
            </w:r>
          </w:p>
          <w:p w14:paraId="5640D93A">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b/>
                <w:snapToGrid/>
                <w:color w:val="auto"/>
                <w:sz w:val="24"/>
                <w:szCs w:val="24"/>
                <w:lang w:eastAsia="zh-CN"/>
              </w:rPr>
              <w:t>第三十条</w:t>
            </w:r>
            <w:r>
              <w:rPr>
                <w:rFonts w:hint="default" w:ascii="Times New Roman" w:hAnsi="Times New Roman" w:eastAsia="仿宋_GB2312" w:cs="Times New Roman"/>
                <w:b/>
                <w:snapToGrid/>
                <w:color w:val="auto"/>
                <w:sz w:val="24"/>
                <w:szCs w:val="24"/>
                <w:lang w:eastAsia="zh-CN"/>
              </w:rPr>
              <w:t xml:space="preserve">第四款 </w:t>
            </w:r>
            <w:r>
              <w:rPr>
                <w:rFonts w:ascii="Times New Roman" w:hAnsi="Times New Roman" w:eastAsia="仿宋_GB2312" w:cs="Times New Roman"/>
                <w:snapToGrid/>
                <w:color w:val="auto"/>
                <w:sz w:val="24"/>
                <w:szCs w:val="24"/>
                <w:lang w:eastAsia="zh-CN"/>
              </w:rPr>
              <w:t>市场主体歇业的期限最长不得超过3年。市场主体在歇业期间开展经营活动的，视为恢复营业，市场主体应当通过国家企业信用信息公示系统向社会公示。</w:t>
            </w:r>
          </w:p>
          <w:p w14:paraId="4E0302B2">
            <w:pPr>
              <w:widowControl w:val="0"/>
              <w:kinsoku/>
              <w:snapToGrid/>
              <w:spacing w:line="280" w:lineRule="exact"/>
              <w:textAlignment w:val="auto"/>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《企业信息公示暂行条例》</w:t>
            </w:r>
          </w:p>
          <w:p w14:paraId="183C0ACC">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 xml:space="preserve">第九条第一款第二项 </w:t>
            </w:r>
            <w:r>
              <w:rPr>
                <w:rFonts w:hint="default" w:ascii="Times New Roman" w:hAnsi="Times New Roman" w:eastAsia="仿宋_GB2312" w:cs="Times New Roman"/>
                <w:snapToGrid/>
                <w:color w:val="auto"/>
                <w:sz w:val="24"/>
                <w:szCs w:val="24"/>
                <w:lang w:eastAsia="zh-CN"/>
              </w:rPr>
              <w:t>企业年度报告内容包括：</w:t>
            </w:r>
            <w:r>
              <w:rPr>
                <w:rFonts w:ascii="Times New Roman" w:hAnsi="Times New Roman" w:eastAsia="仿宋_GB2312" w:cs="Times New Roman"/>
                <w:snapToGrid/>
                <w:color w:val="auto"/>
                <w:sz w:val="24"/>
                <w:szCs w:val="24"/>
                <w:lang w:eastAsia="zh-CN"/>
              </w:rPr>
              <w:t xml:space="preserve"> </w:t>
            </w:r>
          </w:p>
          <w:p w14:paraId="7EED06F9">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（二）企业开业、歇业、清算等存续状态信息；</w:t>
            </w:r>
          </w:p>
        </w:tc>
        <w:tc>
          <w:tcPr>
            <w:tcW w:w="1196" w:type="dxa"/>
            <w:noWrap w:val="0"/>
            <w:vAlign w:val="center"/>
          </w:tcPr>
          <w:p w14:paraId="5FA864C7">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600063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一、市场主体领取营业执照后应正常开展生产经营活动，按规定报送上一年度年度报告，并向社会公示。</w:t>
            </w:r>
          </w:p>
          <w:p w14:paraId="25FDDCF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二、市场主体终止经营的，应向登记机关申请办理注销登记；注销依法须经批准的，应当经批准后向登记机关申请注销登记。</w:t>
            </w:r>
          </w:p>
          <w:p w14:paraId="385F811E">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三、市场主体决定歇业的，应在歇业前向登记机关办理备案，歇业期限最长不得超过</w:t>
            </w:r>
            <w:r>
              <w:rPr>
                <w:rFonts w:ascii="Times New Roman" w:hAnsi="Times New Roman" w:eastAsia="仿宋_GB2312" w:cs="Times New Roman"/>
                <w:snapToGrid/>
                <w:color w:val="auto"/>
                <w:sz w:val="24"/>
                <w:szCs w:val="24"/>
                <w:lang w:eastAsia="zh-CN"/>
              </w:rPr>
              <w:t xml:space="preserve">3 </w:t>
            </w:r>
            <w:r>
              <w:rPr>
                <w:rFonts w:hint="default" w:ascii="Times New Roman" w:hAnsi="Times New Roman" w:eastAsia="仿宋_GB2312" w:cs="Times New Roman"/>
                <w:snapToGrid/>
                <w:color w:val="auto"/>
                <w:sz w:val="24"/>
                <w:szCs w:val="24"/>
                <w:lang w:eastAsia="zh-CN"/>
              </w:rPr>
              <w:t>年，歇业期间需正常进行年报。</w:t>
            </w:r>
          </w:p>
          <w:p w14:paraId="21EDDF89">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四、市场主体办理歇业备案后，自主决定开展或者已实际开展经营活动的，</w:t>
            </w:r>
            <w:r>
              <w:rPr>
                <w:rFonts w:ascii="Times New Roman" w:hAnsi="Times New Roman" w:eastAsia="仿宋_GB2312" w:cs="Times New Roman"/>
                <w:snapToGrid/>
                <w:color w:val="auto"/>
                <w:sz w:val="24"/>
                <w:szCs w:val="24"/>
                <w:lang w:eastAsia="zh-CN"/>
              </w:rPr>
              <w:t>应当通过国家企业信用信息公示系统向社会公示。</w:t>
            </w:r>
          </w:p>
        </w:tc>
        <w:tc>
          <w:tcPr>
            <w:tcW w:w="1309" w:type="dxa"/>
            <w:noWrap w:val="0"/>
            <w:vAlign w:val="center"/>
          </w:tcPr>
          <w:p w14:paraId="0F86FF2E">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信用监管</w:t>
            </w:r>
            <w:r>
              <w:rPr>
                <w:rFonts w:hint="default" w:ascii="Times New Roman" w:hAnsi="Times New Roman" w:eastAsia="仿宋_GB2312" w:cs="Times New Roman"/>
                <w:sz w:val="24"/>
                <w:szCs w:val="24"/>
                <w:lang w:val="en-US" w:eastAsia="zh-CN"/>
              </w:rPr>
              <w:t>股、</w:t>
            </w:r>
            <w:r>
              <w:rPr>
                <w:rFonts w:hint="default" w:ascii="Times New Roman" w:hAnsi="Times New Roman" w:eastAsia="仿宋_GB2312" w:cs="Times New Roman"/>
                <w:sz w:val="24"/>
                <w:szCs w:val="24"/>
                <w:lang w:eastAsia="zh-CN"/>
              </w:rPr>
              <w:t>许可注册</w:t>
            </w:r>
            <w:r>
              <w:rPr>
                <w:rFonts w:hint="default" w:ascii="Times New Roman" w:hAnsi="Times New Roman" w:eastAsia="仿宋_GB2312" w:cs="Times New Roman"/>
                <w:sz w:val="24"/>
                <w:szCs w:val="24"/>
                <w:lang w:val="en-US" w:eastAsia="zh-CN"/>
              </w:rPr>
              <w:t>所</w:t>
            </w:r>
          </w:p>
        </w:tc>
      </w:tr>
      <w:tr w14:paraId="11E24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FEDEB50">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7</w:t>
            </w:r>
          </w:p>
        </w:tc>
        <w:tc>
          <w:tcPr>
            <w:tcW w:w="1706" w:type="dxa"/>
            <w:noWrap w:val="0"/>
            <w:vAlign w:val="center"/>
          </w:tcPr>
          <w:p w14:paraId="2CBED884">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市场主体领取营业执照后方可从事一般项目的经营活动</w:t>
            </w:r>
          </w:p>
        </w:tc>
        <w:tc>
          <w:tcPr>
            <w:tcW w:w="2187" w:type="dxa"/>
            <w:noWrap w:val="0"/>
            <w:vAlign w:val="center"/>
          </w:tcPr>
          <w:p w14:paraId="1C5B7973">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在未领取营业执照的情况下从事一般项目的经营活动（不包括在县级以上地方人民政府指定的场所和时间，销售农副产品、日常生活用品，或者个人利用自己的技能从事依法无须取得许可的便民劳务活动；或者依照法律、行政法规、国务院决定的规定，从事无须取得许可或者办理注册登记的经营活动）。</w:t>
            </w:r>
          </w:p>
        </w:tc>
        <w:tc>
          <w:tcPr>
            <w:tcW w:w="4750" w:type="dxa"/>
            <w:noWrap w:val="0"/>
            <w:vAlign w:val="top"/>
          </w:tcPr>
          <w:p w14:paraId="3C8B330C">
            <w:pPr>
              <w:pStyle w:val="6"/>
              <w:widowControl w:val="0"/>
              <w:kinsoku/>
              <w:overflowPunct w:val="0"/>
              <w:topLinePunct/>
              <w:autoSpaceDE/>
              <w:autoSpaceDN/>
              <w:spacing w:line="280" w:lineRule="exact"/>
              <w:jc w:val="both"/>
              <w:rPr>
                <w:rFonts w:ascii="Times New Roman" w:hAnsi="Times New Roman" w:eastAsia="仿宋_GB2312" w:cs="Times New Roman"/>
                <w:b/>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《中华人民共和国公司法》</w:t>
            </w:r>
          </w:p>
          <w:p w14:paraId="010DB97A">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第二百五十九条</w:t>
            </w:r>
            <w:r>
              <w:rPr>
                <w:rFonts w:hint="default" w:ascii="Times New Roman" w:hAnsi="Times New Roman" w:eastAsia="仿宋_GB2312" w:cs="Times New Roman"/>
                <w:snapToGrid/>
                <w:color w:val="auto"/>
                <w:sz w:val="24"/>
                <w:szCs w:val="24"/>
              </w:rPr>
              <w:t xml:space="preserve"> </w:t>
            </w:r>
            <w:r>
              <w:rPr>
                <w:rFonts w:ascii="Times New Roman" w:hAnsi="Times New Roman" w:eastAsia="仿宋_GB2312" w:cs="Times New Roman"/>
                <w:snapToGrid/>
                <w:color w:val="auto"/>
                <w:sz w:val="24"/>
                <w:szCs w:val="24"/>
              </w:rPr>
              <w:t>未依法登记为有限责任公司或者股份有限公司，而冒用有限责任公司或者股份有限公司名义的，或者未依法登记为有限责任公司或者股份有限公司的分公司，而冒用有限责任公司或者股份有限公司的分公司名义的，由公司登记机关责令改正或者予以取缔，可以并处十万元以下的罚款。</w:t>
            </w:r>
          </w:p>
          <w:p w14:paraId="2BED35AF">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《中华人民共和国个人独资企业法》</w:t>
            </w:r>
          </w:p>
          <w:p w14:paraId="6AC55FDA">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第三十七条第一款</w:t>
            </w:r>
            <w:r>
              <w:rPr>
                <w:rFonts w:hint="default" w:ascii="Times New Roman" w:hAnsi="Times New Roman" w:eastAsia="仿宋_GB2312" w:cs="Times New Roman"/>
                <w:snapToGrid/>
                <w:color w:val="auto"/>
                <w:sz w:val="24"/>
                <w:szCs w:val="24"/>
              </w:rPr>
              <w:t xml:space="preserve"> 违反本法规定，未领取营业执照，以个人独资企业名义从事经营活动的，责令停止经营活动，处以三千元以下的罚款。</w:t>
            </w:r>
          </w:p>
          <w:p w14:paraId="7B77A76B">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《中华人民共和国合伙企业法》</w:t>
            </w:r>
          </w:p>
          <w:p w14:paraId="7BAADDA2">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第九十五条第一款</w:t>
            </w:r>
            <w:r>
              <w:rPr>
                <w:rFonts w:hint="default" w:ascii="Times New Roman" w:hAnsi="Times New Roman" w:eastAsia="仿宋_GB2312" w:cs="Times New Roman"/>
                <w:snapToGrid/>
                <w:color w:val="auto"/>
                <w:sz w:val="24"/>
                <w:szCs w:val="24"/>
              </w:rPr>
              <w:t xml:space="preserve"> 违反本法规定，未领取营业执照，而以合伙企业或者合伙企业分支机构名义从事合伙业务的，由企业登记机关责令停止，处以五千元以上五万元以下的罚款。</w:t>
            </w:r>
          </w:p>
          <w:p w14:paraId="21D390C3">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FZFSK--GBK1-0" w:cs="Times New Roman"/>
                <w:b/>
                <w:snapToGrid/>
                <w:color w:val="auto"/>
                <w:sz w:val="24"/>
                <w:szCs w:val="24"/>
              </w:rPr>
              <w:t>《</w:t>
            </w:r>
            <w:r>
              <w:rPr>
                <w:rFonts w:hint="default" w:ascii="Times New Roman" w:hAnsi="Times New Roman" w:eastAsia="仿宋_GB2312" w:cs="Times New Roman"/>
                <w:b/>
                <w:snapToGrid/>
                <w:color w:val="auto"/>
                <w:sz w:val="24"/>
                <w:szCs w:val="24"/>
              </w:rPr>
              <w:t>中华人民共和国市场主体登记管理条例》</w:t>
            </w:r>
          </w:p>
          <w:p w14:paraId="0FDD38E7">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第四十三条</w:t>
            </w:r>
            <w:r>
              <w:rPr>
                <w:rFonts w:hint="default" w:ascii="Times New Roman" w:hAnsi="Times New Roman" w:eastAsia="仿宋_GB2312" w:cs="Times New Roman"/>
                <w:snapToGrid/>
                <w:color w:val="auto"/>
                <w:sz w:val="24"/>
                <w:szCs w:val="24"/>
              </w:rPr>
              <w:t xml:space="preserve"> 未经设立登记从事经营活动的，由登记机关责令改正，没收违法所得；拒不改正的，处</w:t>
            </w:r>
            <w:r>
              <w:rPr>
                <w:rFonts w:ascii="Times New Roman" w:hAnsi="Times New Roman" w:eastAsia="仿宋_GB2312" w:cs="Times New Roman"/>
                <w:snapToGrid/>
                <w:color w:val="auto"/>
                <w:sz w:val="24"/>
                <w:szCs w:val="24"/>
              </w:rPr>
              <w:t xml:space="preserve">1 </w:t>
            </w:r>
            <w:r>
              <w:rPr>
                <w:rFonts w:hint="default" w:ascii="Times New Roman" w:hAnsi="Times New Roman" w:eastAsia="仿宋_GB2312" w:cs="Times New Roman"/>
                <w:snapToGrid/>
                <w:color w:val="auto"/>
                <w:sz w:val="24"/>
                <w:szCs w:val="24"/>
              </w:rPr>
              <w:t>万元以上</w:t>
            </w:r>
            <w:r>
              <w:rPr>
                <w:rFonts w:ascii="Times New Roman" w:hAnsi="Times New Roman" w:eastAsia="仿宋_GB2312" w:cs="Times New Roman"/>
                <w:snapToGrid/>
                <w:color w:val="auto"/>
                <w:sz w:val="24"/>
                <w:szCs w:val="24"/>
              </w:rPr>
              <w:t xml:space="preserve">10 </w:t>
            </w:r>
            <w:r>
              <w:rPr>
                <w:rFonts w:hint="default" w:ascii="Times New Roman" w:hAnsi="Times New Roman" w:eastAsia="仿宋_GB2312" w:cs="Times New Roman"/>
                <w:snapToGrid/>
                <w:color w:val="auto"/>
                <w:sz w:val="24"/>
                <w:szCs w:val="24"/>
              </w:rPr>
              <w:t>万元以下的罚款；情节严重的，依法责令关闭停业，并处</w:t>
            </w:r>
            <w:r>
              <w:rPr>
                <w:rFonts w:ascii="Times New Roman" w:hAnsi="Times New Roman" w:eastAsia="仿宋_GB2312" w:cs="Times New Roman"/>
                <w:snapToGrid/>
                <w:color w:val="auto"/>
                <w:sz w:val="24"/>
                <w:szCs w:val="24"/>
              </w:rPr>
              <w:t xml:space="preserve">10 </w:t>
            </w:r>
            <w:r>
              <w:rPr>
                <w:rFonts w:hint="default" w:ascii="Times New Roman" w:hAnsi="Times New Roman" w:eastAsia="仿宋_GB2312" w:cs="Times New Roman"/>
                <w:snapToGrid/>
                <w:color w:val="auto"/>
                <w:sz w:val="24"/>
                <w:szCs w:val="24"/>
              </w:rPr>
              <w:t>万元以上</w:t>
            </w:r>
            <w:r>
              <w:rPr>
                <w:rFonts w:ascii="Times New Roman" w:hAnsi="Times New Roman" w:eastAsia="仿宋_GB2312" w:cs="Times New Roman"/>
                <w:snapToGrid/>
                <w:color w:val="auto"/>
                <w:sz w:val="24"/>
                <w:szCs w:val="24"/>
              </w:rPr>
              <w:t xml:space="preserve">50 </w:t>
            </w:r>
            <w:r>
              <w:rPr>
                <w:rFonts w:hint="default" w:ascii="Times New Roman" w:hAnsi="Times New Roman" w:eastAsia="仿宋_GB2312" w:cs="Times New Roman"/>
                <w:snapToGrid/>
                <w:color w:val="auto"/>
                <w:sz w:val="24"/>
                <w:szCs w:val="24"/>
              </w:rPr>
              <w:t>万元以下的罚款。</w:t>
            </w:r>
          </w:p>
          <w:p w14:paraId="42D89212">
            <w:pPr>
              <w:pStyle w:val="6"/>
              <w:widowControl w:val="0"/>
              <w:kinsoku/>
              <w:overflowPunct w:val="0"/>
              <w:topLinePunct/>
              <w:autoSpaceDE/>
              <w:autoSpaceDN/>
              <w:spacing w:line="280" w:lineRule="exact"/>
              <w:ind w:firstLine="482"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b/>
                <w:snapToGrid/>
                <w:color w:val="auto"/>
                <w:sz w:val="24"/>
                <w:szCs w:val="24"/>
                <w:lang w:eastAsia="zh-CN"/>
              </w:rPr>
              <w:t>第五十二条</w:t>
            </w:r>
            <w:r>
              <w:rPr>
                <w:rFonts w:hint="default" w:ascii="Times New Roman" w:hAnsi="Times New Roman" w:eastAsia="仿宋_GB2312" w:cs="Times New Roman"/>
                <w:snapToGrid/>
                <w:color w:val="auto"/>
                <w:sz w:val="24"/>
                <w:szCs w:val="24"/>
                <w:lang w:eastAsia="zh-CN"/>
              </w:rPr>
              <w:t xml:space="preserve"> 法律、行政法规对市场主体登记管理违法行为处罚另有规定的，从其规定。</w:t>
            </w:r>
          </w:p>
          <w:p w14:paraId="56A7C39D">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《中华人民共和国市场主体登记管理条例实施细则》</w:t>
            </w:r>
          </w:p>
          <w:p w14:paraId="0ED94134">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第六十八条</w:t>
            </w:r>
            <w:r>
              <w:rPr>
                <w:rFonts w:hint="default" w:ascii="Times New Roman" w:hAnsi="Times New Roman" w:eastAsia="仿宋_GB2312" w:cs="Times New Roman"/>
                <w:snapToGrid/>
                <w:color w:val="auto"/>
                <w:sz w:val="24"/>
                <w:szCs w:val="24"/>
              </w:rPr>
              <w:t xml:space="preserve"> 未经设立登记从事一般经营活动的，由登记机关责令改正，没收违法所得；拒不改正的，处</w:t>
            </w:r>
            <w:r>
              <w:rPr>
                <w:rFonts w:ascii="Times New Roman" w:hAnsi="Times New Roman" w:eastAsia="仿宋_GB2312" w:cs="Times New Roman"/>
                <w:snapToGrid/>
                <w:color w:val="auto"/>
                <w:sz w:val="24"/>
                <w:szCs w:val="24"/>
              </w:rPr>
              <w:t xml:space="preserve">1 </w:t>
            </w:r>
            <w:r>
              <w:rPr>
                <w:rFonts w:hint="default" w:ascii="Times New Roman" w:hAnsi="Times New Roman" w:eastAsia="仿宋_GB2312" w:cs="Times New Roman"/>
                <w:snapToGrid/>
                <w:color w:val="auto"/>
                <w:sz w:val="24"/>
                <w:szCs w:val="24"/>
              </w:rPr>
              <w:t>万元以上</w:t>
            </w:r>
            <w:r>
              <w:rPr>
                <w:rFonts w:ascii="Times New Roman" w:hAnsi="Times New Roman" w:eastAsia="仿宋_GB2312" w:cs="Times New Roman"/>
                <w:snapToGrid/>
                <w:color w:val="auto"/>
                <w:sz w:val="24"/>
                <w:szCs w:val="24"/>
              </w:rPr>
              <w:t xml:space="preserve">10 </w:t>
            </w:r>
            <w:r>
              <w:rPr>
                <w:rFonts w:hint="default" w:ascii="Times New Roman" w:hAnsi="Times New Roman" w:eastAsia="仿宋_GB2312" w:cs="Times New Roman"/>
                <w:snapToGrid/>
                <w:color w:val="auto"/>
                <w:sz w:val="24"/>
                <w:szCs w:val="24"/>
              </w:rPr>
              <w:t>万元以下的罚款；情节严重的，依法责令关闭停业，并处</w:t>
            </w:r>
            <w:r>
              <w:rPr>
                <w:rFonts w:ascii="Times New Roman" w:hAnsi="Times New Roman" w:eastAsia="仿宋_GB2312" w:cs="Times New Roman"/>
                <w:snapToGrid/>
                <w:color w:val="auto"/>
                <w:sz w:val="24"/>
                <w:szCs w:val="24"/>
              </w:rPr>
              <w:t xml:space="preserve">10 </w:t>
            </w:r>
            <w:r>
              <w:rPr>
                <w:rFonts w:hint="default" w:ascii="Times New Roman" w:hAnsi="Times New Roman" w:eastAsia="仿宋_GB2312" w:cs="Times New Roman"/>
                <w:snapToGrid/>
                <w:color w:val="auto"/>
                <w:sz w:val="24"/>
                <w:szCs w:val="24"/>
              </w:rPr>
              <w:t>万元以上</w:t>
            </w:r>
            <w:r>
              <w:rPr>
                <w:rFonts w:ascii="Times New Roman" w:hAnsi="Times New Roman" w:eastAsia="仿宋_GB2312" w:cs="Times New Roman"/>
                <w:snapToGrid/>
                <w:color w:val="auto"/>
                <w:sz w:val="24"/>
                <w:szCs w:val="24"/>
              </w:rPr>
              <w:t xml:space="preserve">50 </w:t>
            </w:r>
            <w:r>
              <w:rPr>
                <w:rFonts w:hint="default" w:ascii="Times New Roman" w:hAnsi="Times New Roman" w:eastAsia="仿宋_GB2312" w:cs="Times New Roman"/>
                <w:snapToGrid/>
                <w:color w:val="auto"/>
                <w:sz w:val="24"/>
                <w:szCs w:val="24"/>
              </w:rPr>
              <w:t>万元以下的罚款。</w:t>
            </w:r>
          </w:p>
          <w:p w14:paraId="108C4169">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《无证无照经营查处办法》</w:t>
            </w:r>
          </w:p>
          <w:p w14:paraId="6D8CB7D4">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第二条</w:t>
            </w:r>
            <w:r>
              <w:rPr>
                <w:rFonts w:hint="default" w:ascii="Times New Roman" w:hAnsi="Times New Roman" w:eastAsia="仿宋_GB2312" w:cs="Times New Roman"/>
                <w:snapToGrid/>
                <w:color w:val="auto"/>
                <w:sz w:val="24"/>
                <w:szCs w:val="24"/>
              </w:rPr>
              <w:t xml:space="preserve"> 任何单位或者个人不得违反法律法规、国务院决定的规定，从事无证无照经营。</w:t>
            </w:r>
          </w:p>
          <w:p w14:paraId="5A532EFC">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 xml:space="preserve">第三条 </w:t>
            </w:r>
            <w:r>
              <w:rPr>
                <w:rFonts w:hint="default" w:ascii="Times New Roman" w:hAnsi="Times New Roman" w:eastAsia="仿宋_GB2312" w:cs="Times New Roman"/>
                <w:snapToGrid/>
                <w:color w:val="auto"/>
                <w:sz w:val="24"/>
                <w:szCs w:val="24"/>
              </w:rPr>
              <w:t>下列经营活动，不属于无证无照经营：</w:t>
            </w:r>
          </w:p>
          <w:p w14:paraId="518E65E8">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w:t>
            </w:r>
            <w:r>
              <w:rPr>
                <w:rFonts w:hint="default" w:ascii="Times New Roman" w:hAnsi="Times New Roman" w:eastAsia="仿宋_GB2312" w:cs="Times New Roman"/>
                <w:snapToGrid/>
                <w:color w:val="auto"/>
                <w:sz w:val="24"/>
                <w:szCs w:val="24"/>
              </w:rPr>
              <w:t>一</w:t>
            </w:r>
            <w:r>
              <w:rPr>
                <w:rFonts w:ascii="Times New Roman" w:hAnsi="Times New Roman" w:eastAsia="仿宋_GB2312" w:cs="Times New Roman"/>
                <w:snapToGrid/>
                <w:color w:val="auto"/>
                <w:sz w:val="24"/>
                <w:szCs w:val="24"/>
              </w:rPr>
              <w:t>)</w:t>
            </w:r>
            <w:r>
              <w:rPr>
                <w:rFonts w:hint="default" w:ascii="Times New Roman" w:hAnsi="Times New Roman" w:eastAsia="仿宋_GB2312" w:cs="Times New Roman"/>
                <w:snapToGrid/>
                <w:color w:val="auto"/>
                <w:sz w:val="24"/>
                <w:szCs w:val="24"/>
              </w:rPr>
              <w:t>在县级以上地方人民政府指定的场所和时间，销售农副产品、日常生活用品，或者个人利用自己的技能从事依法无须取得许可的便民劳务活动；</w:t>
            </w:r>
          </w:p>
          <w:p w14:paraId="4FB0D7AD">
            <w:pPr>
              <w:spacing w:line="280" w:lineRule="exact"/>
              <w:ind w:firstLine="480" w:firstLineChars="200"/>
              <w:rPr>
                <w:rFonts w:ascii="Times New Roman" w:hAnsi="Times New Roman" w:eastAsia="宋体" w:cs="Times New Roman"/>
                <w:sz w:val="24"/>
                <w:szCs w:val="24"/>
              </w:rPr>
            </w:pPr>
            <w:r>
              <w:rPr>
                <w:rFonts w:ascii="Times New Roman" w:hAnsi="Times New Roman" w:eastAsia="仿宋_GB2312" w:cs="Times New Roman"/>
                <w:snapToGrid/>
                <w:color w:val="auto"/>
                <w:sz w:val="24"/>
                <w:szCs w:val="24"/>
              </w:rPr>
              <w:t>(</w:t>
            </w:r>
            <w:r>
              <w:rPr>
                <w:rFonts w:hint="default" w:ascii="Times New Roman" w:hAnsi="Times New Roman" w:eastAsia="仿宋_GB2312" w:cs="Times New Roman"/>
                <w:snapToGrid/>
                <w:color w:val="auto"/>
                <w:sz w:val="24"/>
                <w:szCs w:val="24"/>
              </w:rPr>
              <w:t>二</w:t>
            </w:r>
            <w:r>
              <w:rPr>
                <w:rFonts w:ascii="Times New Roman" w:hAnsi="Times New Roman" w:eastAsia="仿宋_GB2312" w:cs="Times New Roman"/>
                <w:snapToGrid/>
                <w:color w:val="auto"/>
                <w:sz w:val="24"/>
                <w:szCs w:val="24"/>
              </w:rPr>
              <w:t>)</w:t>
            </w:r>
            <w:r>
              <w:rPr>
                <w:rFonts w:hint="default" w:ascii="Times New Roman" w:hAnsi="Times New Roman" w:eastAsia="仿宋_GB2312" w:cs="Times New Roman"/>
                <w:snapToGrid/>
                <w:color w:val="auto"/>
                <w:sz w:val="24"/>
                <w:szCs w:val="24"/>
              </w:rPr>
              <w:t>依照法律、行政法规、国务院决定的规定，从事无须取得许可或者办理注册登记的经营活动。</w:t>
            </w:r>
          </w:p>
          <w:p w14:paraId="39143145">
            <w:pPr>
              <w:spacing w:line="280" w:lineRule="exact"/>
              <w:ind w:firstLine="482" w:firstLineChars="200"/>
              <w:rPr>
                <w:rFonts w:ascii="Times New Roman" w:hAnsi="Times New Roman" w:eastAsia="宋体" w:cs="Times New Roman"/>
                <w:sz w:val="24"/>
                <w:szCs w:val="24"/>
              </w:rPr>
            </w:pPr>
            <w:r>
              <w:rPr>
                <w:rFonts w:hint="default" w:ascii="Times New Roman" w:hAnsi="Times New Roman" w:eastAsia="仿宋_GB2312" w:cs="Times New Roman"/>
                <w:b/>
                <w:snapToGrid/>
                <w:color w:val="auto"/>
                <w:sz w:val="24"/>
                <w:szCs w:val="24"/>
              </w:rPr>
              <w:t>第十三条</w:t>
            </w:r>
            <w:r>
              <w:rPr>
                <w:rFonts w:hint="default" w:ascii="Times New Roman" w:hAnsi="Times New Roman" w:eastAsia="仿宋_GB2312" w:cs="Times New Roman"/>
                <w:snapToGrid/>
                <w:color w:val="auto"/>
                <w:sz w:val="24"/>
                <w:szCs w:val="24"/>
              </w:rPr>
              <w:t xml:space="preserve"> 从事无照经营的，由工商行政管理部门依照相关法律、行政法规的规定予以处罚。法律、行政法规对无照经营的处罚没有明确规定的，由工商行政管理部门责令停止违法行为，没收违法所得，并处</w:t>
            </w:r>
            <w:r>
              <w:rPr>
                <w:rFonts w:ascii="Times New Roman" w:hAnsi="Times New Roman" w:eastAsia="仿宋_GB2312" w:cs="Times New Roman"/>
                <w:snapToGrid/>
                <w:color w:val="auto"/>
                <w:sz w:val="24"/>
                <w:szCs w:val="24"/>
              </w:rPr>
              <w:t xml:space="preserve">1 </w:t>
            </w:r>
            <w:r>
              <w:rPr>
                <w:rFonts w:hint="default" w:ascii="Times New Roman" w:hAnsi="Times New Roman" w:eastAsia="仿宋_GB2312" w:cs="Times New Roman"/>
                <w:snapToGrid/>
                <w:color w:val="auto"/>
                <w:sz w:val="24"/>
                <w:szCs w:val="24"/>
              </w:rPr>
              <w:t>万元以下的罚款。</w:t>
            </w:r>
          </w:p>
        </w:tc>
        <w:tc>
          <w:tcPr>
            <w:tcW w:w="1196" w:type="dxa"/>
            <w:noWrap w:val="0"/>
            <w:vAlign w:val="center"/>
          </w:tcPr>
          <w:p w14:paraId="45F0A716">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47001D3">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市场主体从事经营活动前，应主动向登记机关办理设立登记。未经登记，不得以市场主体名义从事经营活动。法律、行政法规规定无需办理登记的除外。</w:t>
            </w:r>
          </w:p>
        </w:tc>
        <w:tc>
          <w:tcPr>
            <w:tcW w:w="1309" w:type="dxa"/>
            <w:noWrap w:val="0"/>
            <w:vAlign w:val="center"/>
          </w:tcPr>
          <w:p w14:paraId="4A15C828">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信用监管</w:t>
            </w:r>
            <w:r>
              <w:rPr>
                <w:rFonts w:hint="default" w:ascii="Times New Roman" w:hAnsi="Times New Roman" w:eastAsia="仿宋_GB2312" w:cs="Times New Roman"/>
                <w:sz w:val="24"/>
                <w:szCs w:val="24"/>
                <w:lang w:val="en-US" w:eastAsia="zh-CN"/>
              </w:rPr>
              <w:t>股</w:t>
            </w:r>
          </w:p>
        </w:tc>
      </w:tr>
      <w:tr w14:paraId="22A56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C62CF50">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8</w:t>
            </w:r>
          </w:p>
        </w:tc>
        <w:tc>
          <w:tcPr>
            <w:tcW w:w="1706" w:type="dxa"/>
            <w:noWrap w:val="0"/>
            <w:vAlign w:val="center"/>
          </w:tcPr>
          <w:p w14:paraId="5A9F214A">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经营者</w:t>
            </w:r>
            <w:r>
              <w:rPr>
                <w:rFonts w:hint="default" w:ascii="Times New Roman" w:hAnsi="Times New Roman" w:eastAsia="仿宋_GB2312" w:cs="Times New Roman"/>
                <w:snapToGrid/>
                <w:color w:val="auto"/>
                <w:sz w:val="24"/>
                <w:szCs w:val="24"/>
              </w:rPr>
              <w:t>不得</w:t>
            </w:r>
            <w:r>
              <w:rPr>
                <w:rFonts w:ascii="Times New Roman" w:hAnsi="Times New Roman" w:eastAsia="仿宋_GB2312" w:cs="Times New Roman"/>
                <w:snapToGrid/>
                <w:color w:val="auto"/>
                <w:sz w:val="24"/>
                <w:szCs w:val="24"/>
              </w:rPr>
              <w:t>实施混淆行为</w:t>
            </w:r>
          </w:p>
        </w:tc>
        <w:tc>
          <w:tcPr>
            <w:tcW w:w="2187" w:type="dxa"/>
            <w:noWrap w:val="0"/>
            <w:vAlign w:val="center"/>
          </w:tcPr>
          <w:p w14:paraId="245D28BC">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w:t>
            </w:r>
            <w:r>
              <w:rPr>
                <w:rFonts w:ascii="Times New Roman" w:hAnsi="Times New Roman" w:eastAsia="仿宋_GB2312" w:cs="Times New Roman"/>
                <w:snapToGrid/>
                <w:color w:val="auto"/>
                <w:sz w:val="24"/>
                <w:szCs w:val="24"/>
                <w:lang w:eastAsia="zh-CN"/>
              </w:rPr>
              <w:t>擅自使用与他人有一定影响的商品名称、包装、装潢等相同或者近似的标识；擅自使用他人有一定影响的企业名称（包括简称、字号等）、社会组织名称（包括简称等）、姓名（包括笔名、艺名、译名等）；擅自使用他人有一定影响的域名主体部分、网站名称、网页等；其他足以引人误认为是他人商品或者与他人存在特定联系的混淆行为。</w:t>
            </w:r>
          </w:p>
          <w:p w14:paraId="4F3466BF">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p>
        </w:tc>
        <w:tc>
          <w:tcPr>
            <w:tcW w:w="4750" w:type="dxa"/>
            <w:noWrap w:val="0"/>
            <w:vAlign w:val="top"/>
          </w:tcPr>
          <w:p w14:paraId="7A04E806">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《中华人民共和国反不正当竞争法》</w:t>
            </w:r>
          </w:p>
          <w:p w14:paraId="5643B097">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第六条</w:t>
            </w:r>
            <w:r>
              <w:rPr>
                <w:rFonts w:hint="default" w:ascii="Times New Roman" w:hAnsi="Times New Roman" w:eastAsia="仿宋_GB2312" w:cs="Times New Roman"/>
                <w:snapToGrid/>
                <w:color w:val="auto"/>
                <w:sz w:val="24"/>
                <w:szCs w:val="24"/>
              </w:rPr>
              <w:t xml:space="preserve"> </w:t>
            </w:r>
            <w:r>
              <w:rPr>
                <w:rFonts w:ascii="Times New Roman" w:hAnsi="Times New Roman" w:eastAsia="仿宋_GB2312" w:cs="Times New Roman"/>
                <w:snapToGrid/>
                <w:color w:val="auto"/>
                <w:sz w:val="24"/>
                <w:szCs w:val="24"/>
              </w:rPr>
              <w:t>经营者不得实施下列混淆行为，引人误认为是他人商品或者与他人存在特定联系：</w:t>
            </w:r>
          </w:p>
          <w:p w14:paraId="397D27E6">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（一）擅自使用与他人有一定影响的商品名称、包装、装潢等相同或者近似的标识；</w:t>
            </w:r>
          </w:p>
          <w:p w14:paraId="70D10017">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（二）擅自使用他人有一定影响的企业名称（包括简称、字号等）、社会组织名称（包括简称等）、姓名（包括笔名、艺名、译名等）；</w:t>
            </w:r>
          </w:p>
          <w:p w14:paraId="4FD38135">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（三）擅自使用他人有一定影响的域名主体部分、网站名称、网页等；</w:t>
            </w:r>
          </w:p>
          <w:p w14:paraId="437A16C2">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（四）其他足以引人误认为是他人商品或者与他人存在特定联系的混淆行为。</w:t>
            </w:r>
          </w:p>
          <w:p w14:paraId="20E2EDB1">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第十八条</w:t>
            </w:r>
            <w:r>
              <w:rPr>
                <w:rFonts w:hint="default" w:ascii="Times New Roman" w:hAnsi="Times New Roman" w:eastAsia="仿宋_GB2312" w:cs="Times New Roman"/>
                <w:b/>
                <w:snapToGrid/>
                <w:color w:val="auto"/>
                <w:sz w:val="24"/>
                <w:szCs w:val="24"/>
              </w:rPr>
              <w:t>第一款</w:t>
            </w:r>
            <w:r>
              <w:rPr>
                <w:rFonts w:hint="default" w:ascii="Times New Roman" w:hAnsi="Times New Roman" w:eastAsia="仿宋_GB2312" w:cs="Times New Roman"/>
                <w:snapToGrid/>
                <w:color w:val="auto"/>
                <w:sz w:val="24"/>
                <w:szCs w:val="24"/>
              </w:rPr>
              <w:t xml:space="preserve"> </w:t>
            </w:r>
            <w:r>
              <w:rPr>
                <w:rFonts w:ascii="Times New Roman" w:hAnsi="Times New Roman" w:eastAsia="仿宋_GB2312" w:cs="Times New Roman"/>
                <w:snapToGrid/>
                <w:color w:val="auto"/>
                <w:sz w:val="24"/>
                <w:szCs w:val="24"/>
              </w:rPr>
              <w:t>经营者违反本法第六条规定实施混淆行为的，由监督检查部门责令停止违法行为，没收违法商品。违法经营额五万元以上的，可以并处违法经营额五倍以下的罚款；没有违法经营额或者违法经营额不足五万元的，可以并处二十五万元以下的罚款。情节严重的，吊销营业执照。</w:t>
            </w:r>
          </w:p>
        </w:tc>
        <w:tc>
          <w:tcPr>
            <w:tcW w:w="1196" w:type="dxa"/>
            <w:noWrap w:val="0"/>
            <w:vAlign w:val="center"/>
          </w:tcPr>
          <w:p w14:paraId="46452B20">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1CA5980E">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经营者要抵制擅自使用与他人有一定影响的商品名称、包装、装潢等相同或者近似的标识；抵制擅自使用他人有一定影响的企业名称</w:t>
            </w:r>
            <w:r>
              <w:rPr>
                <w:rFonts w:ascii="Times New Roman" w:hAnsi="Times New Roman" w:eastAsia="仿宋_GB2312" w:cs="Times New Roman"/>
                <w:snapToGrid/>
                <w:color w:val="auto"/>
                <w:sz w:val="24"/>
                <w:szCs w:val="24"/>
                <w:lang w:eastAsia="zh-CN"/>
              </w:rPr>
              <w:t>(</w:t>
            </w:r>
            <w:r>
              <w:rPr>
                <w:rFonts w:hint="default" w:ascii="Times New Roman" w:hAnsi="Times New Roman" w:eastAsia="仿宋_GB2312" w:cs="Times New Roman"/>
                <w:snapToGrid/>
                <w:color w:val="auto"/>
                <w:sz w:val="24"/>
                <w:szCs w:val="24"/>
                <w:lang w:eastAsia="zh-CN"/>
              </w:rPr>
              <w:t>包括简称、字号等</w:t>
            </w:r>
            <w:r>
              <w:rPr>
                <w:rFonts w:ascii="Times New Roman" w:hAnsi="Times New Roman" w:eastAsia="仿宋_GB2312" w:cs="Times New Roman"/>
                <w:snapToGrid/>
                <w:color w:val="auto"/>
                <w:sz w:val="24"/>
                <w:szCs w:val="24"/>
                <w:lang w:eastAsia="zh-CN"/>
              </w:rPr>
              <w:t>)</w:t>
            </w:r>
            <w:r>
              <w:rPr>
                <w:rFonts w:hint="default" w:ascii="Times New Roman" w:hAnsi="Times New Roman" w:eastAsia="仿宋_GB2312" w:cs="Times New Roman"/>
                <w:snapToGrid/>
                <w:color w:val="auto"/>
                <w:sz w:val="24"/>
                <w:szCs w:val="24"/>
                <w:lang w:eastAsia="zh-CN"/>
              </w:rPr>
              <w:t>、社会组织名称</w:t>
            </w:r>
            <w:r>
              <w:rPr>
                <w:rFonts w:ascii="Times New Roman" w:hAnsi="Times New Roman" w:eastAsia="仿宋_GB2312" w:cs="Times New Roman"/>
                <w:snapToGrid/>
                <w:color w:val="auto"/>
                <w:sz w:val="24"/>
                <w:szCs w:val="24"/>
                <w:lang w:eastAsia="zh-CN"/>
              </w:rPr>
              <w:t>(</w:t>
            </w:r>
            <w:r>
              <w:rPr>
                <w:rFonts w:hint="default" w:ascii="Times New Roman" w:hAnsi="Times New Roman" w:eastAsia="仿宋_GB2312" w:cs="Times New Roman"/>
                <w:snapToGrid/>
                <w:color w:val="auto"/>
                <w:sz w:val="24"/>
                <w:szCs w:val="24"/>
                <w:lang w:eastAsia="zh-CN"/>
              </w:rPr>
              <w:t>包括简称等</w:t>
            </w:r>
            <w:r>
              <w:rPr>
                <w:rFonts w:ascii="Times New Roman" w:hAnsi="Times New Roman" w:eastAsia="仿宋_GB2312" w:cs="Times New Roman"/>
                <w:snapToGrid/>
                <w:color w:val="auto"/>
                <w:sz w:val="24"/>
                <w:szCs w:val="24"/>
                <w:lang w:eastAsia="zh-CN"/>
              </w:rPr>
              <w:t>)</w:t>
            </w:r>
            <w:r>
              <w:rPr>
                <w:rFonts w:hint="default" w:ascii="Times New Roman" w:hAnsi="Times New Roman" w:eastAsia="仿宋_GB2312" w:cs="Times New Roman"/>
                <w:snapToGrid/>
                <w:color w:val="auto"/>
                <w:sz w:val="24"/>
                <w:szCs w:val="24"/>
                <w:lang w:eastAsia="zh-CN"/>
              </w:rPr>
              <w:t>、姓名</w:t>
            </w:r>
            <w:r>
              <w:rPr>
                <w:rFonts w:ascii="Times New Roman" w:hAnsi="Times New Roman" w:eastAsia="仿宋_GB2312" w:cs="Times New Roman"/>
                <w:snapToGrid/>
                <w:color w:val="auto"/>
                <w:sz w:val="24"/>
                <w:szCs w:val="24"/>
                <w:lang w:eastAsia="zh-CN"/>
              </w:rPr>
              <w:t>(</w:t>
            </w:r>
            <w:r>
              <w:rPr>
                <w:rFonts w:hint="default" w:ascii="Times New Roman" w:hAnsi="Times New Roman" w:eastAsia="仿宋_GB2312" w:cs="Times New Roman"/>
                <w:snapToGrid/>
                <w:color w:val="auto"/>
                <w:sz w:val="24"/>
                <w:szCs w:val="24"/>
                <w:lang w:eastAsia="zh-CN"/>
              </w:rPr>
              <w:t>包括笔名、艺名、译名等</w:t>
            </w:r>
            <w:r>
              <w:rPr>
                <w:rFonts w:ascii="Times New Roman" w:hAnsi="Times New Roman" w:eastAsia="仿宋_GB2312" w:cs="Times New Roman"/>
                <w:snapToGrid/>
                <w:color w:val="auto"/>
                <w:sz w:val="24"/>
                <w:szCs w:val="24"/>
                <w:lang w:eastAsia="zh-CN"/>
              </w:rPr>
              <w:t>)</w:t>
            </w:r>
            <w:r>
              <w:rPr>
                <w:rFonts w:hint="default" w:ascii="Times New Roman" w:hAnsi="Times New Roman" w:eastAsia="仿宋_GB2312" w:cs="Times New Roman"/>
                <w:snapToGrid/>
                <w:color w:val="auto"/>
                <w:sz w:val="24"/>
                <w:szCs w:val="24"/>
                <w:lang w:eastAsia="zh-CN"/>
              </w:rPr>
              <w:t>；抵制擅自使用他人有一定影响的域名主体部分、网站名称、网页等；抵制其他足以引人误认为是他人商品或者与他人存在特定联系的混淆行为。</w:t>
            </w:r>
          </w:p>
        </w:tc>
        <w:tc>
          <w:tcPr>
            <w:tcW w:w="1309" w:type="dxa"/>
            <w:noWrap w:val="0"/>
            <w:vAlign w:val="center"/>
          </w:tcPr>
          <w:p w14:paraId="3D724D44">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0EFF5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C454A3B">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9</w:t>
            </w:r>
          </w:p>
        </w:tc>
        <w:tc>
          <w:tcPr>
            <w:tcW w:w="1706" w:type="dxa"/>
            <w:noWrap w:val="0"/>
            <w:vAlign w:val="center"/>
          </w:tcPr>
          <w:p w14:paraId="2D586230">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经营者不得作虚假或者引人误解的商业宣传；不得通过组织虚假交易等方式，帮助其他经营者进行虚假或者引人误解的商业宣传。</w:t>
            </w:r>
          </w:p>
        </w:tc>
        <w:tc>
          <w:tcPr>
            <w:tcW w:w="2187" w:type="dxa"/>
            <w:noWrap w:val="0"/>
            <w:vAlign w:val="center"/>
          </w:tcPr>
          <w:p w14:paraId="00BDD948">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经营者对其商品的性能、功能、质量、销售状况、用户评价、曾获荣誉等作虚假或者引人误解的商业宣传，以及刷单炒信等欺骗、误导消费者行为。</w:t>
            </w:r>
          </w:p>
        </w:tc>
        <w:tc>
          <w:tcPr>
            <w:tcW w:w="4750" w:type="dxa"/>
            <w:noWrap w:val="0"/>
            <w:vAlign w:val="top"/>
          </w:tcPr>
          <w:p w14:paraId="5021D444">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《中华人民共和国反不正当竞争法》</w:t>
            </w:r>
            <w:r>
              <w:rPr>
                <w:rFonts w:ascii="Times New Roman" w:hAnsi="Times New Roman" w:eastAsia="仿宋_GB2312" w:cs="Times New Roman"/>
                <w:b/>
                <w:snapToGrid/>
                <w:color w:val="auto"/>
                <w:sz w:val="24"/>
                <w:szCs w:val="24"/>
              </w:rPr>
              <w:t xml:space="preserve"> </w:t>
            </w:r>
          </w:p>
          <w:p w14:paraId="66424A72">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 xml:space="preserve">第八条 </w:t>
            </w:r>
            <w:r>
              <w:rPr>
                <w:rFonts w:hint="default" w:ascii="Times New Roman" w:hAnsi="Times New Roman" w:eastAsia="仿宋_GB2312" w:cs="Times New Roman"/>
                <w:snapToGrid/>
                <w:color w:val="auto"/>
                <w:sz w:val="24"/>
                <w:szCs w:val="24"/>
              </w:rPr>
              <w:t>经营者不得对其商品的性能、功能、质量、销售状况、用户评价、曾获荣誉等作虚假或者引人误解的商业宣传，欺骗、误导消费者。</w:t>
            </w:r>
          </w:p>
          <w:p w14:paraId="39F0FF93">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经营者不得通过组织虚假交易等方式，帮助其他经营者进行虚假或者引人误解的商业宣传。</w:t>
            </w:r>
          </w:p>
          <w:p w14:paraId="7A3B93E5">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第二十条第一款</w:t>
            </w:r>
            <w:r>
              <w:rPr>
                <w:rFonts w:hint="default" w:ascii="Times New Roman" w:hAnsi="Times New Roman" w:eastAsia="仿宋_GB2312" w:cs="Times New Roman"/>
                <w:snapToGrid/>
                <w:color w:val="auto"/>
                <w:sz w:val="24"/>
                <w:szCs w:val="24"/>
              </w:rPr>
              <w:t xml:space="preserve"> 经营者违反本法第八条规定对其商品作虚假或者引人误解的商业宣传，或者通过组织虚假交易等方式帮助其他经营者进行虚假或者引人误解的商业宣传的，由监督检查部门责令停止违法行为，处二十万元以上一百万元以下的罚款；情节严重的，处一百万元以上二百万元以下的罚款，可以吊销营业执照。</w:t>
            </w:r>
          </w:p>
        </w:tc>
        <w:tc>
          <w:tcPr>
            <w:tcW w:w="1196" w:type="dxa"/>
            <w:noWrap w:val="0"/>
            <w:vAlign w:val="center"/>
          </w:tcPr>
          <w:p w14:paraId="328F91F5">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6A78D18">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要依法诚信经营，通过提高产品和服务质量等赢得市场口碑，积累商誉信誉；不对经营的商品的性能、功能、质量、销售状况、用户评价、曾获荣誉等作虚假或者引人误解的商业宣传，不从事刷单炒信等欺骗、误导消费者行为；不得通过组织虚假交易等方式，伪造商品热销和不真实评价等假象，帮助其他经营者进行虚假或者引人误解的商业宣传。</w:t>
            </w:r>
          </w:p>
        </w:tc>
        <w:tc>
          <w:tcPr>
            <w:tcW w:w="1309" w:type="dxa"/>
            <w:noWrap w:val="0"/>
            <w:vAlign w:val="center"/>
          </w:tcPr>
          <w:p w14:paraId="5C678F2B">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4566A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E9A0DF5">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10</w:t>
            </w:r>
          </w:p>
        </w:tc>
        <w:tc>
          <w:tcPr>
            <w:tcW w:w="1706" w:type="dxa"/>
            <w:noWrap w:val="0"/>
            <w:vAlign w:val="center"/>
          </w:tcPr>
          <w:p w14:paraId="5C4DFE6C">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经营者不得采用财物或者其他手段贿赂他人</w:t>
            </w:r>
          </w:p>
        </w:tc>
        <w:tc>
          <w:tcPr>
            <w:tcW w:w="2187" w:type="dxa"/>
            <w:noWrap w:val="0"/>
            <w:vAlign w:val="center"/>
          </w:tcPr>
          <w:p w14:paraId="2B73B07A">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color w:val="auto"/>
                <w:sz w:val="24"/>
                <w:szCs w:val="24"/>
                <w:lang w:eastAsia="zh-CN"/>
              </w:rPr>
              <w:t>经营者采用财物或者其他手段贿赂交易相对方的工作人员</w:t>
            </w:r>
            <w:r>
              <w:rPr>
                <w:rFonts w:hint="default" w:ascii="Times New Roman" w:hAnsi="Times New Roman" w:eastAsia="仿宋_GB2312" w:cs="Times New Roman"/>
                <w:snapToGrid/>
                <w:color w:val="auto"/>
                <w:sz w:val="24"/>
                <w:szCs w:val="24"/>
                <w:lang w:eastAsia="zh-CN"/>
              </w:rPr>
              <w:t>、</w:t>
            </w:r>
            <w:r>
              <w:rPr>
                <w:rFonts w:ascii="Times New Roman" w:hAnsi="Times New Roman" w:eastAsia="仿宋_GB2312" w:cs="Times New Roman"/>
                <w:snapToGrid/>
                <w:color w:val="auto"/>
                <w:sz w:val="24"/>
                <w:szCs w:val="24"/>
                <w:lang w:eastAsia="zh-CN"/>
              </w:rPr>
              <w:t>受交易相对方委托办理相关事务的单位或者个人</w:t>
            </w:r>
            <w:r>
              <w:rPr>
                <w:rFonts w:hint="default" w:ascii="Times New Roman" w:hAnsi="Times New Roman" w:eastAsia="仿宋_GB2312" w:cs="Times New Roman"/>
                <w:snapToGrid/>
                <w:color w:val="auto"/>
                <w:sz w:val="24"/>
                <w:szCs w:val="24"/>
                <w:lang w:eastAsia="zh-CN"/>
              </w:rPr>
              <w:t>、</w:t>
            </w:r>
            <w:r>
              <w:rPr>
                <w:rFonts w:ascii="Times New Roman" w:hAnsi="Times New Roman" w:eastAsia="仿宋_GB2312" w:cs="Times New Roman"/>
                <w:snapToGrid/>
                <w:color w:val="auto"/>
                <w:sz w:val="24"/>
                <w:szCs w:val="24"/>
                <w:lang w:eastAsia="zh-CN"/>
              </w:rPr>
              <w:t>利用职权或者影响力影响交易的单位或者个人</w:t>
            </w:r>
            <w:r>
              <w:rPr>
                <w:rFonts w:hint="default" w:ascii="Times New Roman" w:hAnsi="Times New Roman" w:eastAsia="仿宋_GB2312" w:cs="Times New Roman"/>
                <w:snapToGrid/>
                <w:color w:val="auto"/>
                <w:sz w:val="24"/>
                <w:szCs w:val="24"/>
                <w:lang w:eastAsia="zh-CN"/>
              </w:rPr>
              <w:t>。</w:t>
            </w:r>
          </w:p>
        </w:tc>
        <w:tc>
          <w:tcPr>
            <w:tcW w:w="4750" w:type="dxa"/>
            <w:noWrap w:val="0"/>
            <w:vAlign w:val="top"/>
          </w:tcPr>
          <w:p w14:paraId="2DB7E8F6">
            <w:pPr>
              <w:spacing w:line="280" w:lineRule="exact"/>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《中华人民共和国反不正当竞争法》</w:t>
            </w:r>
          </w:p>
          <w:p w14:paraId="1BAC6C4F">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第七条</w:t>
            </w:r>
            <w:r>
              <w:rPr>
                <w:rFonts w:hint="default" w:ascii="Times New Roman" w:hAnsi="Times New Roman" w:eastAsia="仿宋_GB2312" w:cs="Times New Roman"/>
                <w:b/>
                <w:snapToGrid/>
                <w:color w:val="auto"/>
                <w:sz w:val="24"/>
                <w:szCs w:val="24"/>
              </w:rPr>
              <w:t xml:space="preserve"> </w:t>
            </w:r>
            <w:r>
              <w:rPr>
                <w:rFonts w:ascii="Times New Roman" w:hAnsi="Times New Roman" w:eastAsia="仿宋_GB2312" w:cs="Times New Roman"/>
                <w:snapToGrid/>
                <w:color w:val="auto"/>
                <w:sz w:val="24"/>
                <w:szCs w:val="24"/>
              </w:rPr>
              <w:t>经营者不得下列单位或者个人，以谋取交易机会或者竞争优势：</w:t>
            </w:r>
          </w:p>
          <w:p w14:paraId="3D633582">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（一）交易相对方的工作人员；</w:t>
            </w:r>
          </w:p>
          <w:p w14:paraId="6A529553">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（二）受交易相对方委托办理相关事务的单位或者个人；</w:t>
            </w:r>
          </w:p>
          <w:p w14:paraId="4B4919AC">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（三）利用职权或者影响力影响交易的单位或者个人。</w:t>
            </w:r>
          </w:p>
          <w:p w14:paraId="1A925760">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经营者在交易活动中，可以以明示方式向交易相对方支付折扣，或者向中间人支付佣金。经营者向交易相对方支付折扣、向中间人支付佣金的，应当如实入账。接受折扣、佣金的经营者也应当如实入账。</w:t>
            </w:r>
          </w:p>
          <w:p w14:paraId="6B019ED4">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经营者的工作人员进行贿赂的，应当认定为经营者的行为；但是，经营者有证据证明该工作人员的行为与为经营者谋取交易机会或者竞争优势无关的除外。</w:t>
            </w:r>
          </w:p>
          <w:p w14:paraId="4EEAF48E">
            <w:pPr>
              <w:spacing w:line="280" w:lineRule="exact"/>
              <w:ind w:firstLine="482" w:firstLineChars="200"/>
              <w:rPr>
                <w:rFonts w:ascii="Times New Roman" w:hAnsi="Times New Roman" w:eastAsia="宋体" w:cs="Times New Roman"/>
                <w:sz w:val="24"/>
                <w:szCs w:val="24"/>
              </w:rPr>
            </w:pPr>
            <w:r>
              <w:rPr>
                <w:rFonts w:ascii="Times New Roman" w:hAnsi="Times New Roman" w:eastAsia="仿宋_GB2312" w:cs="Times New Roman"/>
                <w:b/>
                <w:snapToGrid/>
                <w:color w:val="auto"/>
                <w:sz w:val="24"/>
                <w:szCs w:val="24"/>
              </w:rPr>
              <w:t>第十九条</w:t>
            </w:r>
            <w:r>
              <w:rPr>
                <w:rFonts w:hint="default" w:ascii="Times New Roman" w:hAnsi="Times New Roman" w:eastAsia="仿宋_GB2312" w:cs="Times New Roman"/>
                <w:b/>
                <w:snapToGrid/>
                <w:color w:val="auto"/>
                <w:sz w:val="24"/>
                <w:szCs w:val="24"/>
              </w:rPr>
              <w:t xml:space="preserve"> </w:t>
            </w:r>
            <w:r>
              <w:rPr>
                <w:rFonts w:ascii="Times New Roman" w:hAnsi="Times New Roman" w:eastAsia="仿宋_GB2312" w:cs="Times New Roman"/>
                <w:snapToGrid/>
                <w:color w:val="auto"/>
                <w:sz w:val="24"/>
                <w:szCs w:val="24"/>
              </w:rPr>
              <w:t>经营者违反本法第七条规定贿赂他人的，由监督检查部门没收违法所得，处十万元以上三百万元以下的罚款。情节严重的，吊销营业执照。</w:t>
            </w:r>
          </w:p>
        </w:tc>
        <w:tc>
          <w:tcPr>
            <w:tcW w:w="1196" w:type="dxa"/>
            <w:noWrap w:val="0"/>
            <w:vAlign w:val="center"/>
          </w:tcPr>
          <w:p w14:paraId="7098FF0D">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83BDD3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经营者应依靠提升服务水</w:t>
            </w:r>
          </w:p>
          <w:p w14:paraId="0A4BE17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平、提高产品质量、增强核心竞争力等方式达成交易或竞争优势。不得谋求交易机会，采用财物或者其他手段贿赂对其交易项目的成交具有决定性影响的单位或个人。</w:t>
            </w:r>
          </w:p>
        </w:tc>
        <w:tc>
          <w:tcPr>
            <w:tcW w:w="1309" w:type="dxa"/>
            <w:noWrap w:val="0"/>
            <w:vAlign w:val="center"/>
          </w:tcPr>
          <w:p w14:paraId="799ABE64">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75141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19DE4DD">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11</w:t>
            </w:r>
          </w:p>
        </w:tc>
        <w:tc>
          <w:tcPr>
            <w:tcW w:w="1706" w:type="dxa"/>
            <w:noWrap w:val="0"/>
            <w:vAlign w:val="center"/>
          </w:tcPr>
          <w:p w14:paraId="67F98647">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经营者不得进行违法有奖销售行为</w:t>
            </w:r>
          </w:p>
        </w:tc>
        <w:tc>
          <w:tcPr>
            <w:tcW w:w="2187" w:type="dxa"/>
            <w:noWrap w:val="0"/>
            <w:vAlign w:val="center"/>
          </w:tcPr>
          <w:p w14:paraId="429F149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color w:val="auto"/>
                <w:sz w:val="24"/>
                <w:szCs w:val="24"/>
                <w:lang w:eastAsia="zh-CN"/>
              </w:rPr>
              <w:t>经营者进行有奖销售存在下列情形：</w:t>
            </w:r>
          </w:p>
          <w:p w14:paraId="23B28138">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color w:val="auto"/>
                <w:sz w:val="24"/>
                <w:szCs w:val="24"/>
                <w:lang w:eastAsia="zh-CN"/>
              </w:rPr>
              <w:t>（一）所设奖的种类、兑奖条件、奖金金额或者奖品等有奖销售信息不明确，影响兑奖；</w:t>
            </w:r>
          </w:p>
          <w:p w14:paraId="6304F44F">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color w:val="auto"/>
                <w:sz w:val="24"/>
                <w:szCs w:val="24"/>
                <w:lang w:eastAsia="zh-CN"/>
              </w:rPr>
              <w:t>（二）采用谎称有奖或者故意让内定人员中奖的欺骗方式进行有奖销售；</w:t>
            </w:r>
          </w:p>
          <w:p w14:paraId="5F516F1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color w:val="auto"/>
                <w:sz w:val="24"/>
                <w:szCs w:val="24"/>
                <w:lang w:eastAsia="zh-CN"/>
              </w:rPr>
              <w:t>（三）抽奖式的有奖销售，最高奖的金额超过五万元。</w:t>
            </w:r>
          </w:p>
          <w:p w14:paraId="4A8BB24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p>
        </w:tc>
        <w:tc>
          <w:tcPr>
            <w:tcW w:w="4750" w:type="dxa"/>
            <w:noWrap w:val="0"/>
            <w:vAlign w:val="top"/>
          </w:tcPr>
          <w:p w14:paraId="46B7AEBF">
            <w:pPr>
              <w:spacing w:line="280" w:lineRule="exact"/>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《中华人民共和国反不正当竞争法》</w:t>
            </w:r>
          </w:p>
          <w:p w14:paraId="1035EE6E">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第十条</w:t>
            </w:r>
            <w:r>
              <w:rPr>
                <w:rFonts w:hint="default" w:ascii="Times New Roman" w:hAnsi="Times New Roman" w:eastAsia="仿宋_GB2312" w:cs="Times New Roman"/>
                <w:b/>
                <w:snapToGrid/>
                <w:color w:val="auto"/>
                <w:sz w:val="24"/>
                <w:szCs w:val="24"/>
              </w:rPr>
              <w:t xml:space="preserve"> </w:t>
            </w:r>
            <w:r>
              <w:rPr>
                <w:rFonts w:ascii="Times New Roman" w:hAnsi="Times New Roman" w:eastAsia="仿宋_GB2312" w:cs="Times New Roman"/>
                <w:snapToGrid/>
                <w:color w:val="auto"/>
                <w:sz w:val="24"/>
                <w:szCs w:val="24"/>
              </w:rPr>
              <w:t>经营者进行有奖销售不得存在下列情形：</w:t>
            </w:r>
          </w:p>
          <w:p w14:paraId="06C7FFE2">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（一）所设奖的种类、兑奖条件、奖金金额或者奖品等有奖销售信息不明确，影响兑奖；</w:t>
            </w:r>
          </w:p>
          <w:p w14:paraId="32EED679">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（二）采用谎称有奖或者故意让内定人员中奖的欺骗方式进行有奖销售；</w:t>
            </w:r>
          </w:p>
          <w:p w14:paraId="4956A0D2">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（三）抽奖式的有奖销售，最高奖的金额超过五万元。</w:t>
            </w:r>
          </w:p>
          <w:p w14:paraId="693D956A">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第</w:t>
            </w:r>
            <w:r>
              <w:rPr>
                <w:rFonts w:ascii="Times New Roman" w:hAnsi="Times New Roman" w:eastAsia="仿宋_GB2312" w:cs="Times New Roman"/>
                <w:b/>
                <w:snapToGrid/>
                <w:color w:val="auto"/>
                <w:sz w:val="24"/>
                <w:szCs w:val="24"/>
              </w:rPr>
              <w:t>二十二条</w:t>
            </w:r>
            <w:r>
              <w:rPr>
                <w:rFonts w:hint="default" w:ascii="Times New Roman" w:hAnsi="Times New Roman" w:eastAsia="仿宋_GB2312" w:cs="Times New Roman"/>
                <w:b/>
                <w:snapToGrid/>
                <w:color w:val="auto"/>
                <w:sz w:val="24"/>
                <w:szCs w:val="24"/>
              </w:rPr>
              <w:t xml:space="preserve"> </w:t>
            </w:r>
            <w:r>
              <w:rPr>
                <w:rFonts w:ascii="Times New Roman" w:hAnsi="Times New Roman" w:eastAsia="仿宋_GB2312" w:cs="Times New Roman"/>
                <w:snapToGrid/>
                <w:color w:val="auto"/>
                <w:sz w:val="24"/>
                <w:szCs w:val="24"/>
              </w:rPr>
              <w:t>经营者违反本法第十条规定进行有奖销售的，由监督检查部门责令停止违法行为，处五万元以上五十万元以下的罚款。</w:t>
            </w:r>
          </w:p>
        </w:tc>
        <w:tc>
          <w:tcPr>
            <w:tcW w:w="1196" w:type="dxa"/>
            <w:noWrap w:val="0"/>
            <w:vAlign w:val="center"/>
          </w:tcPr>
          <w:p w14:paraId="42E2B57C">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D79AAF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一、保证奖品、赠品符合法律规定；</w:t>
            </w:r>
          </w:p>
          <w:p w14:paraId="1F2019A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二、所设奖的种类、兑奖条件、奖金金额或者奖品等有奖销售信息公布要明确；</w:t>
            </w:r>
          </w:p>
          <w:p w14:paraId="3395B2D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三、不得擅自对已公布的有奖销售信息做不利于消费者的变更；</w:t>
            </w:r>
          </w:p>
          <w:p w14:paraId="5ABD4191">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四、禁止谎称有奖或人为干预中奖；</w:t>
            </w:r>
          </w:p>
          <w:p w14:paraId="0746196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五、抽奖式有奖销售最高奖金额不得超过五万元；</w:t>
            </w:r>
          </w:p>
          <w:p w14:paraId="40D9D30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六、经营者在促销活动中提供的奖品或者赠品必须符合国家有关规定，不得以侵权或者不合格产品、国家明令淘汰并停止销售的商品等作为奖品或者赠品。</w:t>
            </w:r>
          </w:p>
        </w:tc>
        <w:tc>
          <w:tcPr>
            <w:tcW w:w="1309" w:type="dxa"/>
            <w:noWrap w:val="0"/>
            <w:vAlign w:val="center"/>
          </w:tcPr>
          <w:p w14:paraId="05189F79">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74327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700E1F5">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12</w:t>
            </w:r>
          </w:p>
        </w:tc>
        <w:tc>
          <w:tcPr>
            <w:tcW w:w="1706" w:type="dxa"/>
            <w:noWrap w:val="0"/>
            <w:vAlign w:val="center"/>
          </w:tcPr>
          <w:p w14:paraId="64A0E2E8">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经营者不得编造、传播虚假信息或者误导性信息，损害竞争对手的商业信誉、商品声誉</w:t>
            </w:r>
          </w:p>
        </w:tc>
        <w:tc>
          <w:tcPr>
            <w:tcW w:w="2187" w:type="dxa"/>
            <w:noWrap w:val="0"/>
            <w:vAlign w:val="center"/>
          </w:tcPr>
          <w:p w14:paraId="66996BB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编造、传播虚假信息或者事实虽然真实，但仅陈述部分事实，容易引发错误联想的误导性信息，对竞争对手的商业信誉、商品声誉进行恶意的诋毁、贬低，以破坏竞争对手的交易机会和竞争优势，并为自己谋取不正当利益。</w:t>
            </w:r>
          </w:p>
        </w:tc>
        <w:tc>
          <w:tcPr>
            <w:tcW w:w="4750" w:type="dxa"/>
            <w:noWrap w:val="0"/>
            <w:vAlign w:val="top"/>
          </w:tcPr>
          <w:p w14:paraId="52133441">
            <w:pPr>
              <w:spacing w:line="280" w:lineRule="exact"/>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《中华人民共和国反不正当竞争法》</w:t>
            </w:r>
          </w:p>
          <w:p w14:paraId="4C79E19C">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第十一条</w:t>
            </w:r>
            <w:r>
              <w:rPr>
                <w:rFonts w:hint="default" w:ascii="Times New Roman" w:hAnsi="Times New Roman" w:eastAsia="仿宋_GB2312" w:cs="Times New Roman"/>
                <w:b/>
                <w:snapToGrid/>
                <w:color w:val="auto"/>
                <w:sz w:val="24"/>
                <w:szCs w:val="24"/>
              </w:rPr>
              <w:t xml:space="preserve"> </w:t>
            </w:r>
            <w:r>
              <w:rPr>
                <w:rFonts w:ascii="Times New Roman" w:hAnsi="Times New Roman" w:eastAsia="仿宋_GB2312" w:cs="Times New Roman"/>
                <w:snapToGrid/>
                <w:color w:val="auto"/>
                <w:sz w:val="24"/>
                <w:szCs w:val="24"/>
              </w:rPr>
              <w:t>经营者不得编造、传播虚假信息或者误导性信息，损害竞争对手的商业信誉、商品声誉。</w:t>
            </w:r>
          </w:p>
          <w:p w14:paraId="7F853CAE">
            <w:pPr>
              <w:spacing w:line="280" w:lineRule="exact"/>
              <w:ind w:firstLine="482"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b/>
                <w:snapToGrid/>
                <w:color w:val="auto"/>
                <w:sz w:val="24"/>
                <w:szCs w:val="24"/>
              </w:rPr>
              <w:t>第二十三条</w:t>
            </w:r>
            <w:r>
              <w:rPr>
                <w:rFonts w:hint="default" w:ascii="Times New Roman" w:hAnsi="Times New Roman" w:eastAsia="仿宋_GB2312" w:cs="Times New Roman"/>
                <w:b/>
                <w:snapToGrid/>
                <w:color w:val="auto"/>
                <w:sz w:val="24"/>
                <w:szCs w:val="24"/>
              </w:rPr>
              <w:t xml:space="preserve"> </w:t>
            </w:r>
            <w:r>
              <w:rPr>
                <w:rFonts w:ascii="Times New Roman" w:hAnsi="Times New Roman" w:eastAsia="仿宋_GB2312" w:cs="Times New Roman"/>
                <w:snapToGrid/>
                <w:color w:val="auto"/>
                <w:sz w:val="24"/>
                <w:szCs w:val="24"/>
              </w:rPr>
              <w:t>经营者违反本法第十一条规定损害竞争对手商业信誉、商品声誉的，由监督检查部门责令停止违法行为、消除影响，处十万元以上五十万元以下的罚款；情节严重的，处五十万元以上三百万元以下的罚款。</w:t>
            </w:r>
          </w:p>
        </w:tc>
        <w:tc>
          <w:tcPr>
            <w:tcW w:w="1196" w:type="dxa"/>
            <w:noWrap w:val="0"/>
            <w:vAlign w:val="center"/>
          </w:tcPr>
          <w:p w14:paraId="0272DF15">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39F7F02C">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经营者在生产经营活动中不得编造、传播虚假信息或者误导性信息，损害竞争对手的商业信誉、商品声誉。</w:t>
            </w:r>
          </w:p>
          <w:p w14:paraId="2029FE0C">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竞争对手既包括生产、销售、提供相同或相似、具备相似功能、可以相互替代的商品或服务的经营者，也包括存在争夺消费者注意力、购买力等商业利益冲突的经营者。</w:t>
            </w:r>
          </w:p>
        </w:tc>
        <w:tc>
          <w:tcPr>
            <w:tcW w:w="1309" w:type="dxa"/>
            <w:noWrap w:val="0"/>
            <w:vAlign w:val="center"/>
          </w:tcPr>
          <w:p w14:paraId="70C8A8DF">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4222C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C1A3D38">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13</w:t>
            </w:r>
          </w:p>
        </w:tc>
        <w:tc>
          <w:tcPr>
            <w:tcW w:w="1706" w:type="dxa"/>
            <w:noWrap w:val="0"/>
            <w:vAlign w:val="center"/>
          </w:tcPr>
          <w:p w14:paraId="12A33B3C">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经营者销售、收购商品和提供服务，应当按照政府价格主管部门的规定明码标价</w:t>
            </w:r>
          </w:p>
        </w:tc>
        <w:tc>
          <w:tcPr>
            <w:tcW w:w="2187" w:type="dxa"/>
            <w:noWrap w:val="0"/>
            <w:vAlign w:val="center"/>
          </w:tcPr>
          <w:p w14:paraId="052ED55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商品品名、单价、计价单位等要素不齐全；服务项目名称、服务内容和价格或计价方式不齐全；商品在销售时没有使用标价签或标价签遗失；收取费用高于商品、服务的标价。</w:t>
            </w:r>
          </w:p>
        </w:tc>
        <w:tc>
          <w:tcPr>
            <w:tcW w:w="4750" w:type="dxa"/>
            <w:noWrap w:val="0"/>
            <w:vAlign w:val="top"/>
          </w:tcPr>
          <w:p w14:paraId="4043D113">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《中华人民共和国价格法》</w:t>
            </w:r>
          </w:p>
          <w:p w14:paraId="07F3273A">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 xml:space="preserve">第十三条第一款 </w:t>
            </w:r>
            <w:r>
              <w:rPr>
                <w:rFonts w:hint="default" w:ascii="Times New Roman" w:hAnsi="Times New Roman" w:eastAsia="仿宋_GB2312" w:cs="Times New Roman"/>
                <w:snapToGrid/>
                <w:color w:val="auto"/>
                <w:sz w:val="24"/>
                <w:szCs w:val="24"/>
              </w:rPr>
              <w:t>经营者销售、收购商品和提供服务，应当按照政府价格主管部门的规定明码标价，注明商品的品名、产地、规格、等级、计价单位、价格或者服务的项目、收费标准等有关情况。</w:t>
            </w:r>
          </w:p>
          <w:p w14:paraId="537A121B">
            <w:pPr>
              <w:spacing w:line="280" w:lineRule="exact"/>
              <w:ind w:firstLine="482"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b/>
                <w:snapToGrid/>
                <w:color w:val="auto"/>
                <w:sz w:val="24"/>
                <w:szCs w:val="24"/>
              </w:rPr>
              <w:t xml:space="preserve">第四十二条 </w:t>
            </w:r>
            <w:r>
              <w:rPr>
                <w:rFonts w:hint="default" w:ascii="Times New Roman" w:hAnsi="Times New Roman" w:eastAsia="仿宋_GB2312" w:cs="Times New Roman"/>
                <w:snapToGrid/>
                <w:color w:val="auto"/>
                <w:sz w:val="24"/>
                <w:szCs w:val="24"/>
              </w:rPr>
              <w:t>经营者违反明码标价规定的，责令改正，没收违法所得，可以并处五千元以下的罚款。</w:t>
            </w:r>
          </w:p>
          <w:p w14:paraId="740520F6">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《价格违法行为行政处罚规定》</w:t>
            </w:r>
          </w:p>
          <w:p w14:paraId="7B4E8595">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第十三条</w:t>
            </w:r>
            <w:r>
              <w:rPr>
                <w:rFonts w:hint="default"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经营者违反明码标价规定，有下列行为之一的，责令改正，没收违法所得，可以并处5000元以下的罚款：</w:t>
            </w:r>
          </w:p>
          <w:p w14:paraId="1CB86D8A">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(一)不标明价格的；</w:t>
            </w:r>
          </w:p>
          <w:p w14:paraId="763CF0E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(二)不按照规定的内容和方式明码标价的；</w:t>
            </w:r>
          </w:p>
          <w:p w14:paraId="7B1FC826">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(三)在标价之外加价出售商品或者收取未标明的费用的；</w:t>
            </w:r>
          </w:p>
          <w:p w14:paraId="68FE1D90">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(四)违反明码标价规定的其他行为。</w:t>
            </w:r>
          </w:p>
        </w:tc>
        <w:tc>
          <w:tcPr>
            <w:tcW w:w="1196" w:type="dxa"/>
            <w:noWrap w:val="0"/>
            <w:vAlign w:val="center"/>
          </w:tcPr>
          <w:p w14:paraId="00F0060A">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1A0A23EB">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一、经营者销售、收购商品和提供服务时，应当按照市场监督管理部门的规定明码标价。</w:t>
            </w:r>
          </w:p>
          <w:p w14:paraId="40D9FD01">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明码标价应当根据商品和服务、行业、区域等特点，做到真实准确、货签对位、标识醒目。</w:t>
            </w:r>
          </w:p>
          <w:p w14:paraId="78FBB1C6">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二、经营者应当以显著方式进行明码标价，明确标示价格所对应的商品或者服务。经营者根据不同交易条件实行不同价格的，应当标明交易条件以及与其对应的价格。</w:t>
            </w:r>
          </w:p>
          <w:p w14:paraId="7A0142E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商品或者服务的价格发生变动时，经营者应当及时调整相应标价。</w:t>
            </w:r>
          </w:p>
          <w:p w14:paraId="44BCFA13">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三、经营者提供服务应当标示服务项目、服务内容和价格或者计价方法。</w:t>
            </w:r>
          </w:p>
        </w:tc>
        <w:tc>
          <w:tcPr>
            <w:tcW w:w="1309" w:type="dxa"/>
            <w:noWrap w:val="0"/>
            <w:vAlign w:val="center"/>
          </w:tcPr>
          <w:p w14:paraId="742BA2D3">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7C8B6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1614F33">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14</w:t>
            </w:r>
          </w:p>
        </w:tc>
        <w:tc>
          <w:tcPr>
            <w:tcW w:w="1706" w:type="dxa"/>
            <w:noWrap w:val="0"/>
            <w:vAlign w:val="center"/>
          </w:tcPr>
          <w:p w14:paraId="3AA3F779">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经营者应当执行政府指导价、政府定价以及法定的价格干预措施、紧急措施</w:t>
            </w:r>
          </w:p>
        </w:tc>
        <w:tc>
          <w:tcPr>
            <w:tcW w:w="2187" w:type="dxa"/>
            <w:noWrap w:val="0"/>
            <w:vAlign w:val="center"/>
          </w:tcPr>
          <w:p w14:paraId="08C5F5D0">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经营者不执行政府指导价、政府定价；不执行法定的价格干预措施、紧急措施。</w:t>
            </w:r>
          </w:p>
        </w:tc>
        <w:tc>
          <w:tcPr>
            <w:tcW w:w="4750" w:type="dxa"/>
            <w:noWrap w:val="0"/>
            <w:vAlign w:val="top"/>
          </w:tcPr>
          <w:p w14:paraId="5FE0844E">
            <w:pPr>
              <w:spacing w:line="280" w:lineRule="exact"/>
              <w:rPr>
                <w:rFonts w:ascii="Times New Roman" w:hAnsi="Times New Roman" w:eastAsia="仿宋_GB2312" w:cs="Times New Roman"/>
                <w:b/>
                <w:snapToGrid/>
                <w:color w:val="auto"/>
                <w:sz w:val="24"/>
                <w:szCs w:val="24"/>
              </w:rPr>
            </w:pPr>
            <w:r>
              <w:rPr>
                <w:rFonts w:hint="default" w:ascii="Times New Roman" w:hAnsi="Times New Roman" w:eastAsia="仿宋_GB2312" w:cs="Times New Roman"/>
                <w:b/>
                <w:snapToGrid/>
                <w:color w:val="auto"/>
                <w:sz w:val="24"/>
                <w:szCs w:val="24"/>
              </w:rPr>
              <w:t>《中华人民共和国价格法》</w:t>
            </w:r>
          </w:p>
          <w:p w14:paraId="60E0EAA9">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第三十九条 </w:t>
            </w:r>
            <w:r>
              <w:rPr>
                <w:rFonts w:hint="default" w:ascii="Times New Roman" w:hAnsi="Times New Roman" w:eastAsia="仿宋_GB2312" w:cs="Times New Roman"/>
                <w:kern w:val="0"/>
                <w:sz w:val="24"/>
              </w:rPr>
              <w:t>经营者不执行政府指导价、政府定价以及法定的价格干预措施、紧急措施的，责令改正，没收违法所得，可以并处违法所得五倍以下的罚款；没有违法所得的，可以处以罚款；情节严重的，责令停业整顿。</w:t>
            </w:r>
          </w:p>
          <w:p w14:paraId="1310D4EE">
            <w:pPr>
              <w:pStyle w:val="7"/>
              <w:spacing w:line="280" w:lineRule="exact"/>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《价格违法行为行政处罚规定》</w:t>
            </w:r>
          </w:p>
          <w:p w14:paraId="5A7B13A3">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第九条</w:t>
            </w:r>
            <w:r>
              <w:rPr>
                <w:rFonts w:hint="default"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不执行政府指导价、政府定价，有下列行为之一的，责令改正，没收违法所得，并处违法所得5倍以下的罚款；没有违法所得的，处5万元以上50万元以下的罚款，情节较重的处50万元以上200万元以下的罚款；情节严重的，责令停业整顿：</w:t>
            </w:r>
          </w:p>
          <w:p w14:paraId="24543D03">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(一)超出政府指导价浮动幅度制定价格的；</w:t>
            </w:r>
          </w:p>
          <w:p w14:paraId="6EC498B3">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(二)高于或者低于政府定价制定价格的；</w:t>
            </w:r>
          </w:p>
          <w:p w14:paraId="27AF2780">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(三)擅自制定属于政府指导价、政府定价范围内的商品或者服务价格的；</w:t>
            </w:r>
          </w:p>
          <w:p w14:paraId="1DA5FE01">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(四)提前或者推迟执行政府指导价、政府定价的；</w:t>
            </w:r>
          </w:p>
          <w:p w14:paraId="56A22F6D">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(五)自立收费项目或者自定标准收费的；</w:t>
            </w:r>
          </w:p>
          <w:p w14:paraId="692C00C6">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(六)采取分解收费项目、重复收费、扩大收费范围等方式变相提高收费标准的；</w:t>
            </w:r>
          </w:p>
          <w:p w14:paraId="32BD3160">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(七)对政府明令取消的收费项目继续收费的；</w:t>
            </w:r>
          </w:p>
          <w:p w14:paraId="4C728C7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(八)违反规定以保证金、抵押金等形式变相收费的；</w:t>
            </w:r>
          </w:p>
          <w:p w14:paraId="500B647B">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(九)强制或者变相强制服务并收费的；</w:t>
            </w:r>
          </w:p>
          <w:p w14:paraId="7462A3CF">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(十)不按照规定提供服务而收取费用的；</w:t>
            </w:r>
          </w:p>
          <w:p w14:paraId="35A39EB0">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(十一)不执行政府指导价、政府定价的其他行为。</w:t>
            </w:r>
          </w:p>
          <w:p w14:paraId="3CFE2182">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第十条</w:t>
            </w:r>
            <w:r>
              <w:rPr>
                <w:rFonts w:hint="default"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不执行法定的价格干预措施、紧急措施，有下列行为之一的，责令改正，没收违法所得，并处违法所得5倍以下的罚款；没有违法所得的，处10万元以上100万元以下的罚款，情节较重的处100万元以上500万元以下的罚款；情节严重的，责令停业整顿：</w:t>
            </w:r>
          </w:p>
          <w:p w14:paraId="10106491">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(一)不执行提价申报或者调价备案制度的；</w:t>
            </w:r>
          </w:p>
          <w:p w14:paraId="422639F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(二)超过规定的差价率、利润率幅度的；</w:t>
            </w:r>
          </w:p>
          <w:p w14:paraId="79F587A3">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(三)不执行规定的限价、最低保护价的；</w:t>
            </w:r>
          </w:p>
          <w:p w14:paraId="0D3A0130">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(四)不执行集中定价权限措施的；</w:t>
            </w:r>
          </w:p>
          <w:p w14:paraId="2C664D11">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(五)不执行冻结价格措施的；</w:t>
            </w:r>
          </w:p>
          <w:p w14:paraId="558BACA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(六)不执行法定的价格干预措施、紧急措施的其他行为。</w:t>
            </w:r>
          </w:p>
        </w:tc>
        <w:tc>
          <w:tcPr>
            <w:tcW w:w="1196" w:type="dxa"/>
            <w:noWrap w:val="0"/>
            <w:vAlign w:val="center"/>
          </w:tcPr>
          <w:p w14:paraId="2FAE5B56">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0E2A2E1">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经营者应遵守价格法律规定，执行政府指导价、政府定价和法定的价格干预措施、紧急措施。</w:t>
            </w:r>
          </w:p>
        </w:tc>
        <w:tc>
          <w:tcPr>
            <w:tcW w:w="1309" w:type="dxa"/>
            <w:noWrap w:val="0"/>
            <w:vAlign w:val="center"/>
          </w:tcPr>
          <w:p w14:paraId="7DE3BF62">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6E1BC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FC1898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15</w:t>
            </w:r>
          </w:p>
        </w:tc>
        <w:tc>
          <w:tcPr>
            <w:tcW w:w="1706" w:type="dxa"/>
            <w:noWrap w:val="0"/>
            <w:vAlign w:val="center"/>
          </w:tcPr>
          <w:p w14:paraId="2B1AD49A">
            <w:pPr>
              <w:widowControl w:val="0"/>
              <w:kinsoku/>
              <w:snapToGrid/>
              <w:spacing w:line="280" w:lineRule="exact"/>
              <w:ind w:firstLine="480" w:firstLineChars="200"/>
              <w:textAlignment w:val="auto"/>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经营者不得实行价格欺诈行为</w:t>
            </w:r>
          </w:p>
        </w:tc>
        <w:tc>
          <w:tcPr>
            <w:tcW w:w="2187" w:type="dxa"/>
            <w:noWrap w:val="0"/>
            <w:vAlign w:val="center"/>
          </w:tcPr>
          <w:p w14:paraId="1775880A">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一、谎称商品和服务价格为政府定价或者政府指导价；</w:t>
            </w:r>
          </w:p>
          <w:p w14:paraId="4B2FDF1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二、以低价诱骗消费者或者其他经营者，以高价进行结算；</w:t>
            </w:r>
          </w:p>
          <w:p w14:paraId="5A051F5E">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三、通过虚假折价、减价或者价格比较等方式销售商品或者提供服务；</w:t>
            </w:r>
          </w:p>
          <w:p w14:paraId="5C810E93">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四、销售商品或者提供服务时，使用欺骗性、误导性的语言、文字、数字、图片或者视频等标示价格以及其他价格信息；</w:t>
            </w:r>
          </w:p>
          <w:p w14:paraId="704A72AE">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五、无正当理由拒绝履行或者不完全履行价格承诺；</w:t>
            </w:r>
          </w:p>
          <w:p w14:paraId="76E0575D">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六、不标示或者显著弱化标示对消费者或者其他经营者不利的价格条件，诱骗消费者或者其他经营者与其进行交易；</w:t>
            </w:r>
          </w:p>
          <w:p w14:paraId="102A37A7">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color w:val="auto"/>
                <w:sz w:val="24"/>
                <w:szCs w:val="24"/>
                <w:lang w:eastAsia="zh-CN"/>
              </w:rPr>
              <w:t>七、通过积分、礼券、兑换券、代金券等折抵价款时，拒不按约定折抵价款。</w:t>
            </w:r>
          </w:p>
        </w:tc>
        <w:tc>
          <w:tcPr>
            <w:tcW w:w="4750" w:type="dxa"/>
            <w:noWrap w:val="0"/>
            <w:vAlign w:val="top"/>
          </w:tcPr>
          <w:p w14:paraId="76CACFB7">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《中华人民共和国价格法》</w:t>
            </w:r>
          </w:p>
          <w:p w14:paraId="72791B24">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第十四条第（四）项</w:t>
            </w:r>
            <w:r>
              <w:rPr>
                <w:rFonts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经营者不得有下列不正当价格行为：</w:t>
            </w:r>
          </w:p>
          <w:p w14:paraId="1E7682D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（四）利用虚假的或者使人误解的价格手段，诱骗消费者或者其他经营者与其进行交易；</w:t>
            </w:r>
          </w:p>
          <w:p w14:paraId="342BAD96">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第四十条第一款</w:t>
            </w:r>
            <w:r>
              <w:rPr>
                <w:rFonts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有本法第十四条所列行为之一的，责令改正，没收违法所得，可以并处违法所得五倍以下的罚款；没有违法所得的，予以警告，可以并处罚款；情节严重的，责令停业整顿，或者由工商行政管理机关吊销营业执照。有关法律对本法第十四条所列行为的处罚及处罚机关另有规定的，可以依照有关法律的规定执行。</w:t>
            </w:r>
          </w:p>
          <w:p w14:paraId="59EAC267">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《价格违法行为行政处罚规定》</w:t>
            </w:r>
          </w:p>
          <w:p w14:paraId="78F2D565">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第七条 </w:t>
            </w:r>
            <w:r>
              <w:rPr>
                <w:rFonts w:hint="default" w:ascii="Times New Roman" w:hAnsi="Times New Roman" w:eastAsia="仿宋_GB2312" w:cs="Times New Roman"/>
                <w:kern w:val="0"/>
                <w:sz w:val="24"/>
              </w:rPr>
              <w:t>经营者违反价格法第十四条的规定，利用虚假的或者使人误解的价格手段，诱骗消费者或者其他经营者与其进行交易的，责令改正，没收违法所得，并处违法所得</w:t>
            </w:r>
            <w:r>
              <w:rPr>
                <w:rFonts w:ascii="Times New Roman" w:hAnsi="Times New Roman" w:eastAsia="仿宋_GB2312" w:cs="Times New Roman"/>
                <w:kern w:val="0"/>
                <w:sz w:val="24"/>
              </w:rPr>
              <w:t xml:space="preserve">5 </w:t>
            </w:r>
            <w:r>
              <w:rPr>
                <w:rFonts w:hint="default" w:ascii="Times New Roman" w:hAnsi="Times New Roman" w:eastAsia="仿宋_GB2312" w:cs="Times New Roman"/>
                <w:kern w:val="0"/>
                <w:sz w:val="24"/>
              </w:rPr>
              <w:t>倍以下的罚款；没有违法所得的，处</w:t>
            </w:r>
            <w:r>
              <w:rPr>
                <w:rFonts w:ascii="Times New Roman" w:hAnsi="Times New Roman" w:eastAsia="仿宋_GB2312" w:cs="Times New Roman"/>
                <w:kern w:val="0"/>
                <w:sz w:val="24"/>
              </w:rPr>
              <w:t xml:space="preserve">5 </w:t>
            </w:r>
            <w:r>
              <w:rPr>
                <w:rFonts w:hint="default" w:ascii="Times New Roman" w:hAnsi="Times New Roman" w:eastAsia="仿宋_GB2312" w:cs="Times New Roman"/>
                <w:kern w:val="0"/>
                <w:sz w:val="24"/>
              </w:rPr>
              <w:t>万元以上</w:t>
            </w:r>
            <w:r>
              <w:rPr>
                <w:rFonts w:ascii="Times New Roman" w:hAnsi="Times New Roman" w:eastAsia="仿宋_GB2312" w:cs="Times New Roman"/>
                <w:kern w:val="0"/>
                <w:sz w:val="24"/>
              </w:rPr>
              <w:t xml:space="preserve">50 </w:t>
            </w:r>
            <w:r>
              <w:rPr>
                <w:rFonts w:hint="default" w:ascii="Times New Roman" w:hAnsi="Times New Roman" w:eastAsia="仿宋_GB2312" w:cs="Times New Roman"/>
                <w:kern w:val="0"/>
                <w:sz w:val="24"/>
              </w:rPr>
              <w:t>万元以下的罚款；情节严重的，责令停业整顿，或者由工商行政管理机关吊销营业执照。</w:t>
            </w:r>
          </w:p>
        </w:tc>
        <w:tc>
          <w:tcPr>
            <w:tcW w:w="1196" w:type="dxa"/>
            <w:noWrap w:val="0"/>
            <w:vAlign w:val="center"/>
          </w:tcPr>
          <w:p w14:paraId="0DE4C673">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5C1EBEB">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经营者应遵守《中华人民共和国价格法》《价格违法行为行政处罚规定》《明码标价和禁止价格欺诈规定》等法律法规规章出售商品或提供服务时应明码标价，禁止出现价格欺诈行为。</w:t>
            </w:r>
          </w:p>
        </w:tc>
        <w:tc>
          <w:tcPr>
            <w:tcW w:w="1309" w:type="dxa"/>
            <w:noWrap w:val="0"/>
            <w:vAlign w:val="center"/>
          </w:tcPr>
          <w:p w14:paraId="0E6539A0">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38200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A7F834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16</w:t>
            </w:r>
          </w:p>
        </w:tc>
        <w:tc>
          <w:tcPr>
            <w:tcW w:w="1706" w:type="dxa"/>
            <w:noWrap w:val="0"/>
            <w:vAlign w:val="center"/>
          </w:tcPr>
          <w:p w14:paraId="5770032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经营者不得哄抬价格</w:t>
            </w:r>
          </w:p>
        </w:tc>
        <w:tc>
          <w:tcPr>
            <w:tcW w:w="2187" w:type="dxa"/>
            <w:noWrap w:val="0"/>
            <w:vAlign w:val="center"/>
          </w:tcPr>
          <w:p w14:paraId="1DE3BB39">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一、捏造生产、进货成本信息并散布的；</w:t>
            </w:r>
          </w:p>
          <w:p w14:paraId="5F4E0A80">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二、捏造货源紧张或者市场需求激增信息并散布的；</w:t>
            </w:r>
          </w:p>
          <w:p w14:paraId="5AA19336">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三、捏造其他经营者已经或者准备提价信息并散布的；</w:t>
            </w:r>
          </w:p>
          <w:p w14:paraId="2527B2FD">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四、散布信息含有“即将全面提价”“涨价潮”等紧迫性用语或者诱导性用语，推高价格预期的；</w:t>
            </w:r>
          </w:p>
          <w:p w14:paraId="7DD8AC89">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五、散布信息，诱导其他经营者提高价格的；</w:t>
            </w:r>
          </w:p>
          <w:p w14:paraId="4C6D2B96">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六、生产环节经营者，无正当理由不及时将已生产的产品对外销售，超出正常的存储数量或者存储周期，大量囤积市场供应紧张、价格发生异常波动的商品，经市场监管部门告诫仍继续囤积的；</w:t>
            </w:r>
          </w:p>
          <w:p w14:paraId="29BE7AFD">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七、生产环节经营者，除生产自用外，超出正常的存储数量或者存储周期，大量囤积市场供应紧张、价格发生异常波动的原材料，经市场监管部门告诫仍继续囤积的；</w:t>
            </w:r>
          </w:p>
          <w:p w14:paraId="5349F163">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八、流通环节经营者，无正当理由不及时将商品对外销售，超出正常的存储数量或者存储周期，大量囤积市场供应紧张、价格发生异常波动的商品，经市场监管部门告诫仍继续囤积的；</w:t>
            </w:r>
          </w:p>
          <w:p w14:paraId="71ED989A">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九、在销售商品过程中，强制搭售商品，变相大幅度提高商品价格的；</w:t>
            </w:r>
          </w:p>
          <w:p w14:paraId="539C40CF">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十、未提高商品价格，但不合理大幅度提高运输费用或者收取其他不合理费用的；</w:t>
            </w:r>
          </w:p>
          <w:p w14:paraId="6FB37B99">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十一、在成本未明显增加时大幅度提高商品价格，或者成本虽有增加但商品价格上涨幅度明显高于成本增长幅度的。</w:t>
            </w:r>
          </w:p>
        </w:tc>
        <w:tc>
          <w:tcPr>
            <w:tcW w:w="4750" w:type="dxa"/>
            <w:noWrap w:val="0"/>
            <w:vAlign w:val="top"/>
          </w:tcPr>
          <w:p w14:paraId="294AADFA">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《中华人民共和国价格法》</w:t>
            </w:r>
          </w:p>
          <w:p w14:paraId="628BF281">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第十四条第（三）项</w:t>
            </w:r>
            <w:r>
              <w:rPr>
                <w:rFonts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经营者不得有下列不正当价格行为：</w:t>
            </w:r>
          </w:p>
          <w:p w14:paraId="269BD71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（三）捏造、散布涨价信息，哄抬价格，推动商品价格过高上涨的；</w:t>
            </w:r>
          </w:p>
          <w:p w14:paraId="4FD830EF">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第四十条第一款</w:t>
            </w:r>
            <w:r>
              <w:rPr>
                <w:rFonts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有本法第十四条所列行为之一的，责令改正，没收违法所得，可以并处违法所得五倍以下的罚款；没有违法所得的，予以警告，可以并处罚款；情节严重的，责令停业整顿，或者由工商行政管理机关吊销营业执照。有关法律对本法第十四条所列行为的处罚及处罚机关另有规定的，可以依照有关法律的规定执行。</w:t>
            </w:r>
          </w:p>
          <w:p w14:paraId="5FAD5184">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《价格违法行为行政处罚规定》</w:t>
            </w:r>
          </w:p>
          <w:p w14:paraId="4A08CD1F">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第六条</w:t>
            </w:r>
            <w:r>
              <w:rPr>
                <w:rFonts w:hint="default"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违反价格法第十四条的规定，有下列推动商品价格过快、过高上涨行为之一的，责令改正，没收违法所得，并处违法所得5倍以下的罚款；没有违法所得的，处5万元以上50万元以下的罚款，情节较重的处50万元以上300万元以下的罚款；情节严重的，责令停业整顿，或者由工商行政管理机关吊销营业执照：</w:t>
            </w:r>
          </w:p>
          <w:p w14:paraId="77E504E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(一)捏造、散布涨价信息，扰乱市场价格秩序的；</w:t>
            </w:r>
          </w:p>
          <w:p w14:paraId="00AEC866">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(二)除生产自用外，超出正常的存储数量或者存储周期，大量囤积市场供应紧张、价格发生异常波动的商品，经价格主管部门告诫仍继续囤积的；</w:t>
            </w:r>
          </w:p>
          <w:p w14:paraId="1A8CF5B9">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(三)利用其他手段哄抬价格，推动商品价格过快、过高上涨的。</w:t>
            </w:r>
          </w:p>
          <w:p w14:paraId="7FD4E45C">
            <w:pPr>
              <w:pStyle w:val="7"/>
              <w:spacing w:line="280" w:lineRule="exact"/>
              <w:ind w:firstLine="480" w:firstLineChars="200"/>
              <w:rPr>
                <w:rFonts w:ascii="Times New Roman" w:hAnsi="Times New Roman" w:eastAsia="仿宋_GB2312" w:cs="Times New Roman"/>
                <w:snapToGrid w:val="0"/>
                <w:sz w:val="24"/>
              </w:rPr>
            </w:pPr>
          </w:p>
        </w:tc>
        <w:tc>
          <w:tcPr>
            <w:tcW w:w="1196" w:type="dxa"/>
            <w:noWrap w:val="0"/>
            <w:vAlign w:val="center"/>
          </w:tcPr>
          <w:p w14:paraId="202B8388">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1E36853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z w:val="24"/>
                <w:szCs w:val="24"/>
                <w:lang w:eastAsia="zh-CN"/>
              </w:rPr>
            </w:pPr>
            <w:r>
              <w:rPr>
                <w:rFonts w:hint="default" w:ascii="Times New Roman" w:hAnsi="Times New Roman" w:eastAsia="仿宋_GB2312" w:cs="Times New Roman"/>
                <w:snapToGrid/>
                <w:color w:val="auto"/>
                <w:sz w:val="24"/>
                <w:szCs w:val="24"/>
                <w:lang w:eastAsia="zh-CN"/>
              </w:rPr>
              <w:t>经营者应诚信守法经营，不得以任何形式发布不实价格信息。</w:t>
            </w:r>
          </w:p>
        </w:tc>
        <w:tc>
          <w:tcPr>
            <w:tcW w:w="1309" w:type="dxa"/>
            <w:noWrap w:val="0"/>
            <w:vAlign w:val="center"/>
          </w:tcPr>
          <w:p w14:paraId="20BB28E3">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价监竞争</w:t>
            </w:r>
            <w:r>
              <w:rPr>
                <w:rFonts w:hint="default" w:ascii="Times New Roman" w:hAnsi="Times New Roman" w:eastAsia="仿宋_GB2312" w:cs="Times New Roman"/>
                <w:sz w:val="24"/>
                <w:szCs w:val="24"/>
                <w:lang w:val="en-US" w:eastAsia="zh-CN"/>
              </w:rPr>
              <w:t>股</w:t>
            </w:r>
          </w:p>
        </w:tc>
      </w:tr>
      <w:tr w14:paraId="338A2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7680010">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17</w:t>
            </w:r>
          </w:p>
        </w:tc>
        <w:tc>
          <w:tcPr>
            <w:tcW w:w="1706" w:type="dxa"/>
            <w:noWrap w:val="0"/>
            <w:vAlign w:val="center"/>
          </w:tcPr>
          <w:p w14:paraId="7C474517">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电子商务经营者应当依法公示营业执照、行政许可等信息</w:t>
            </w:r>
          </w:p>
        </w:tc>
        <w:tc>
          <w:tcPr>
            <w:tcW w:w="2187" w:type="dxa"/>
            <w:noWrap w:val="0"/>
            <w:vAlign w:val="center"/>
          </w:tcPr>
          <w:p w14:paraId="4886331D">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未在首页显著位置，持续公示营业执照信息、行政许可信息、属于依法不需要办理市场主体登记情形等信息，或者上述信息的链接标识。</w:t>
            </w:r>
          </w:p>
        </w:tc>
        <w:tc>
          <w:tcPr>
            <w:tcW w:w="4750" w:type="dxa"/>
            <w:noWrap w:val="0"/>
            <w:vAlign w:val="top"/>
          </w:tcPr>
          <w:p w14:paraId="654309B7">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《中华人民共和国电子商务法中华人民共和国电子商务法》</w:t>
            </w:r>
          </w:p>
          <w:p w14:paraId="058D9205">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第十五条 </w:t>
            </w:r>
            <w:r>
              <w:rPr>
                <w:rFonts w:hint="default" w:ascii="Times New Roman" w:hAnsi="Times New Roman" w:eastAsia="仿宋_GB2312" w:cs="Times New Roman"/>
                <w:kern w:val="0"/>
                <w:sz w:val="24"/>
              </w:rPr>
              <w:t>电子商务经营者应当在其首页显著位置，持续公示信息、与其经营业务有关的信息、属于依照本法第十条规定的不需要办理市场主体登记情形等信息，或者上述信息的链接标识。</w:t>
            </w:r>
          </w:p>
          <w:p w14:paraId="40E75E6B">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前款规定的信息发生变更的，电子商务经营者应当及时更新公示信息。</w:t>
            </w:r>
          </w:p>
          <w:p w14:paraId="644A472E">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第七十六条 </w:t>
            </w:r>
            <w:r>
              <w:rPr>
                <w:rFonts w:hint="default" w:ascii="Times New Roman" w:hAnsi="Times New Roman" w:eastAsia="仿宋_GB2312" w:cs="Times New Roman"/>
                <w:kern w:val="0"/>
                <w:sz w:val="24"/>
              </w:rPr>
              <w:t>电子商务经营者违反本法规定，有下列行为之一的，由市场监督管理部门责令限期改正，可以处一万元以下的罚款，对其中的电子商务平台经营者，依照本法第八十一条第一款的规定处罚：</w:t>
            </w:r>
          </w:p>
          <w:p w14:paraId="547460B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（一）未在首页显著位置公示营业执照信息、行政许可信息、属于不需要办理市场主体登记情形等信息，或者上述信息的链接标识的；</w:t>
            </w:r>
          </w:p>
          <w:p w14:paraId="6DFB7139">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（二）未在首页显著位置持续公示终止电子商务的有关信息的；</w:t>
            </w:r>
          </w:p>
          <w:p w14:paraId="76E40AB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（三）未明示用户信息查询、更正、删除以及用户注销的方式、程序，或者对用户信息查询、更正、删除以及用户注销设置不合理条件的。</w:t>
            </w:r>
          </w:p>
          <w:p w14:paraId="7A61FC0A">
            <w:pPr>
              <w:pStyle w:val="7"/>
              <w:spacing w:line="280" w:lineRule="exact"/>
              <w:ind w:firstLine="480" w:firstLineChars="200"/>
              <w:rPr>
                <w:rFonts w:ascii="Times New Roman" w:hAnsi="Times New Roman" w:eastAsia="仿宋_GB2312" w:cs="Times New Roman"/>
                <w:kern w:val="0"/>
                <w:sz w:val="24"/>
                <w:szCs w:val="24"/>
              </w:rPr>
            </w:pPr>
            <w:r>
              <w:rPr>
                <w:rFonts w:hint="default" w:ascii="Times New Roman" w:hAnsi="Times New Roman" w:eastAsia="仿宋_GB2312" w:cs="Times New Roman"/>
                <w:kern w:val="0"/>
                <w:sz w:val="24"/>
              </w:rPr>
              <w:t>电子商务平台经营者对违反</w:t>
            </w:r>
            <w:r>
              <w:rPr>
                <w:rFonts w:hint="default" w:ascii="Times New Roman" w:hAnsi="Times New Roman" w:eastAsia="仿宋_GB2312" w:cs="Times New Roman"/>
                <w:kern w:val="0"/>
                <w:sz w:val="24"/>
                <w:szCs w:val="24"/>
              </w:rPr>
              <w:t>前款规定的平台内经营者未采取必要措施的，由市场监督管理部门责令限期改正，可以处二万元以上十万元以下的罚款。</w:t>
            </w:r>
          </w:p>
          <w:p w14:paraId="23FA57EF">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《网络交易监督管理办法》</w:t>
            </w:r>
          </w:p>
          <w:p w14:paraId="032A1F0D">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第十二条第一款 </w:t>
            </w:r>
            <w:r>
              <w:rPr>
                <w:rFonts w:hint="default" w:ascii="Times New Roman" w:hAnsi="Times New Roman" w:eastAsia="仿宋_GB2312" w:cs="Times New Roman"/>
                <w:kern w:val="0"/>
                <w:sz w:val="24"/>
              </w:rPr>
              <w:t>网络交易经营者应当在其网站首页或者从事经营活动的主页面显著位置，持续公示经营者主体信息或者该信息的链接标识。鼓励网络交易经营者链接到国家市场监督管理总局电子营业执照亮照系统，公示其营业执照信息。</w:t>
            </w:r>
          </w:p>
          <w:p w14:paraId="497BBC2C">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第四十二条 </w:t>
            </w:r>
            <w:r>
              <w:rPr>
                <w:rFonts w:hint="default" w:ascii="Times New Roman" w:hAnsi="Times New Roman" w:eastAsia="仿宋_GB2312" w:cs="Times New Roman"/>
                <w:kern w:val="0"/>
                <w:sz w:val="24"/>
              </w:rPr>
              <w:t>网络交易经营者违反本办法第十二条、第二十三条，未履行法定信息公示义务的，依照《中华人民共和国电子商务法》第七十六条的规定进行处罚。对其中的网络交易平台经营者，依照《中华人民共和国电子商务法》第八十一条第一款的规定进行处罚。</w:t>
            </w:r>
          </w:p>
        </w:tc>
        <w:tc>
          <w:tcPr>
            <w:tcW w:w="1196" w:type="dxa"/>
            <w:noWrap w:val="0"/>
            <w:vAlign w:val="center"/>
          </w:tcPr>
          <w:p w14:paraId="4D9FED95">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C04785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电子商务经营者应当在其首页显著位置，持续公示营业执照信息、行政许可信息、属于依法不需要办理市场主体登记情形等信息，或者上述信息的链接标识。</w:t>
            </w:r>
          </w:p>
        </w:tc>
        <w:tc>
          <w:tcPr>
            <w:tcW w:w="1309" w:type="dxa"/>
            <w:noWrap w:val="0"/>
            <w:vAlign w:val="center"/>
          </w:tcPr>
          <w:p w14:paraId="6C876F37">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0ECED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4018765">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18</w:t>
            </w:r>
          </w:p>
        </w:tc>
        <w:tc>
          <w:tcPr>
            <w:tcW w:w="1706" w:type="dxa"/>
            <w:noWrap w:val="0"/>
            <w:vAlign w:val="center"/>
          </w:tcPr>
          <w:p w14:paraId="554CB730">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电子商务经营者按照约定向消费者收取押金的，应当明示押金退还的方式、程序</w:t>
            </w:r>
          </w:p>
        </w:tc>
        <w:tc>
          <w:tcPr>
            <w:tcW w:w="2187" w:type="dxa"/>
            <w:noWrap w:val="0"/>
            <w:vAlign w:val="center"/>
          </w:tcPr>
          <w:p w14:paraId="5AA37FC5">
            <w:pPr>
              <w:widowControl w:val="0"/>
              <w:kinsoku/>
              <w:snapToGrid/>
              <w:spacing w:line="280" w:lineRule="exact"/>
              <w:textAlignment w:val="auto"/>
              <w:rPr>
                <w:rFonts w:ascii="Times New Roman" w:hAnsi="Times New Roman" w:eastAsia="瀹嬩綋" w:cs="Times New Roman"/>
                <w:snapToGrid/>
                <w:color w:val="auto"/>
                <w:sz w:val="24"/>
                <w:szCs w:val="24"/>
              </w:rPr>
            </w:pPr>
            <w:r>
              <w:rPr>
                <w:rFonts w:hint="default" w:ascii="Times New Roman" w:hAnsi="Times New Roman" w:eastAsia="仿宋_GB2312" w:cs="Times New Roman"/>
                <w:sz w:val="24"/>
                <w:szCs w:val="24"/>
              </w:rPr>
              <w:t>电子商务经营者按照约定向消费者收取押金的，</w:t>
            </w:r>
            <w:r>
              <w:rPr>
                <w:rFonts w:hint="default" w:ascii="Times New Roman" w:hAnsi="Times New Roman" w:eastAsia="瀹嬩綋" w:cs="Times New Roman"/>
                <w:snapToGrid/>
                <w:color w:val="auto"/>
                <w:sz w:val="24"/>
                <w:szCs w:val="24"/>
              </w:rPr>
              <w:t>未向消费者明示押金退还的方式、程序，对押金退还设置不合理条件，或者不及时退还押金。</w:t>
            </w:r>
          </w:p>
        </w:tc>
        <w:tc>
          <w:tcPr>
            <w:tcW w:w="4750" w:type="dxa"/>
            <w:noWrap w:val="0"/>
            <w:vAlign w:val="top"/>
          </w:tcPr>
          <w:p w14:paraId="47CE209D">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《中华人民共和国电子商务法中华人民共和国电子商务法》</w:t>
            </w:r>
          </w:p>
          <w:p w14:paraId="2FBDEC27">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第二十一条 </w:t>
            </w:r>
            <w:r>
              <w:rPr>
                <w:rFonts w:hint="default" w:ascii="Times New Roman" w:hAnsi="Times New Roman" w:eastAsia="仿宋_GB2312" w:cs="Times New Roman"/>
                <w:kern w:val="0"/>
                <w:sz w:val="24"/>
              </w:rPr>
              <w:t>电子商务经营者按照约定向消费者收取押金的，应当明示押金退还的方式、程序，不得对押金退还设置不合理条件。消费者申请退还押金，符合押金退还条件的，电子商务经营者应当及时退还。</w:t>
            </w:r>
          </w:p>
          <w:p w14:paraId="42C588C0">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第七十八条 </w:t>
            </w:r>
            <w:r>
              <w:rPr>
                <w:rFonts w:hint="default" w:ascii="Times New Roman" w:hAnsi="Times New Roman" w:eastAsia="仿宋_GB2312" w:cs="Times New Roman"/>
                <w:kern w:val="0"/>
                <w:sz w:val="24"/>
              </w:rPr>
              <w:t>电子商务经营者违反本法第二十一条规定，未向消费者明示押金退还的方式、程序，对押金退还设置不合理条件，或者不及时退还押金的，由有关主管部门责令限期改正，可以处五万元以上二十万元以下的罚款；情节严重的，处二十万元以上五十万元以下的罚款。</w:t>
            </w:r>
          </w:p>
        </w:tc>
        <w:tc>
          <w:tcPr>
            <w:tcW w:w="1196" w:type="dxa"/>
            <w:noWrap w:val="0"/>
            <w:vAlign w:val="center"/>
          </w:tcPr>
          <w:p w14:paraId="3AE109A5">
            <w:pPr>
              <w:pStyle w:val="7"/>
              <w:spacing w:line="280" w:lineRule="exact"/>
              <w:jc w:val="center"/>
              <w:rPr>
                <w:rFonts w:hint="default" w:ascii="Times New Roman" w:hAnsi="Times New Roman" w:eastAsia="方正仿宋_GBK" w:cs="Times New Roman"/>
                <w:sz w:val="24"/>
                <w:szCs w:val="24"/>
              </w:rPr>
            </w:pPr>
            <w:r>
              <w:rPr>
                <w:rFonts w:hint="default" w:ascii="Times New Roman" w:hAnsi="Times New Roman" w:cs="Times New Roman"/>
                <w:sz w:val="24"/>
              </w:rPr>
              <w:t>★</w:t>
            </w:r>
          </w:p>
        </w:tc>
        <w:tc>
          <w:tcPr>
            <w:tcW w:w="2860" w:type="dxa"/>
            <w:noWrap w:val="0"/>
            <w:vAlign w:val="center"/>
          </w:tcPr>
          <w:p w14:paraId="746F74E3">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电子商务经营者按照约定向消费者收取押金的，应当明示押金退还的方式、程序，要建立严格的内部审查程序。</w:t>
            </w:r>
          </w:p>
        </w:tc>
        <w:tc>
          <w:tcPr>
            <w:tcW w:w="1309" w:type="dxa"/>
            <w:noWrap w:val="0"/>
            <w:vAlign w:val="center"/>
          </w:tcPr>
          <w:p w14:paraId="7F886730">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5FC28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8E5362E">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19</w:t>
            </w:r>
          </w:p>
        </w:tc>
        <w:tc>
          <w:tcPr>
            <w:tcW w:w="1706" w:type="dxa"/>
            <w:noWrap w:val="0"/>
            <w:vAlign w:val="center"/>
          </w:tcPr>
          <w:p w14:paraId="6B6B3C28">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网络商品销售者不得擅自扩大不适用七日无理由退货的商品范围</w:t>
            </w:r>
          </w:p>
        </w:tc>
        <w:tc>
          <w:tcPr>
            <w:tcW w:w="2187" w:type="dxa"/>
            <w:noWrap w:val="0"/>
            <w:vAlign w:val="center"/>
          </w:tcPr>
          <w:p w14:paraId="639D5ED6">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擅自缩小适用退货的商品范围。</w:t>
            </w:r>
          </w:p>
        </w:tc>
        <w:tc>
          <w:tcPr>
            <w:tcW w:w="4750" w:type="dxa"/>
            <w:noWrap w:val="0"/>
            <w:vAlign w:val="top"/>
          </w:tcPr>
          <w:p w14:paraId="0C41629F">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《网络购买商品七日无理由退货暂行办法》</w:t>
            </w:r>
          </w:p>
          <w:p w14:paraId="6B12AD71">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第六条 </w:t>
            </w:r>
            <w:r>
              <w:rPr>
                <w:rFonts w:hint="default" w:ascii="Times New Roman" w:hAnsi="Times New Roman" w:eastAsia="仿宋_GB2312" w:cs="Times New Roman"/>
                <w:kern w:val="0"/>
                <w:sz w:val="24"/>
              </w:rPr>
              <w:t>下列商品不适用七日无理由退货规定：</w:t>
            </w:r>
          </w:p>
          <w:p w14:paraId="436573A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（一）消费者定作的商品；</w:t>
            </w:r>
          </w:p>
          <w:p w14:paraId="75879195">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（二）鲜活易腐的商品；</w:t>
            </w:r>
          </w:p>
          <w:p w14:paraId="575CB10D">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（三）在线下载或者消费者拆封的音像制品、计算机软件等数字化商品；</w:t>
            </w:r>
          </w:p>
          <w:p w14:paraId="12CD2AB8">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（四）交付的报纸、期刊。</w:t>
            </w:r>
          </w:p>
          <w:p w14:paraId="655265E4">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第七条 </w:t>
            </w:r>
            <w:r>
              <w:rPr>
                <w:rFonts w:hint="default" w:ascii="Times New Roman" w:hAnsi="Times New Roman" w:eastAsia="仿宋_GB2312" w:cs="Times New Roman"/>
                <w:kern w:val="0"/>
                <w:sz w:val="24"/>
              </w:rPr>
              <w:t>下列性质的商品经消费者在购买时确认，可以不适用七日无理由退货规定：</w:t>
            </w:r>
          </w:p>
          <w:p w14:paraId="19C225AB">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（一）拆封后易影响人身安全或者生命健康的商品，或者拆封后易导致商品品质发生改变的商品；</w:t>
            </w:r>
          </w:p>
          <w:p w14:paraId="0FAD4D98">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（二）一经激活或者试用后价值贬损较大的商品；</w:t>
            </w:r>
          </w:p>
          <w:p w14:paraId="29900640">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（三）销售时已明示的临近保质期的商品、有瑕疵的商品。</w:t>
            </w:r>
          </w:p>
          <w:p w14:paraId="46CC16B9">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第三十条 </w:t>
            </w:r>
            <w:r>
              <w:rPr>
                <w:rFonts w:hint="default" w:ascii="Times New Roman" w:hAnsi="Times New Roman" w:eastAsia="仿宋_GB2312" w:cs="Times New Roman"/>
                <w:kern w:val="0"/>
                <w:sz w:val="24"/>
              </w:rPr>
              <w:t>网络商品销售者违反本办法第六条、第七条规定，擅自扩大不适用七日无理由退货的商品范围的，按照《消费者权益保护法》第五十六条第一款第（八）项规定予以处罚。</w:t>
            </w:r>
          </w:p>
          <w:p w14:paraId="24071CEB">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《中华人民共和国消费者权益保护法》</w:t>
            </w:r>
          </w:p>
          <w:p w14:paraId="7D9E927D">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第五十六条第一款第（八）项 </w:t>
            </w:r>
            <w:r>
              <w:rPr>
                <w:rFonts w:hint="default" w:ascii="Times New Roman" w:hAnsi="Times New Roman" w:eastAsia="仿宋_GB2312" w:cs="Times New Roman"/>
                <w:kern w:val="0"/>
                <w:sz w:val="24"/>
              </w:rPr>
              <w:t>经营者有下列情形之一，除承担相应的民事责任外，其他有关法律、法规对处罚机关和处罚方式有规定的，依照法律、法规的规定执行；法律、法规未作规定的，由工商行政管理部门或者其他有关行政部门责令改正，可以根据情节单处或者并处警告、没收违法所得、处以违法所得一倍以上十倍以下的罚款，没有违法所得的，处以五十万元以下的罚款；情节严重的，责令停业整顿、吊销营业执照：</w:t>
            </w:r>
          </w:p>
          <w:p w14:paraId="06F69AC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（八）对消费者提出的修理、重作、更换、退货、补足商品数量、退还货款和服务费用或者赔偿损失的要求，故意拖延或者无理拒绝的；</w:t>
            </w:r>
          </w:p>
        </w:tc>
        <w:tc>
          <w:tcPr>
            <w:tcW w:w="1196" w:type="dxa"/>
            <w:noWrap w:val="0"/>
            <w:vAlign w:val="center"/>
          </w:tcPr>
          <w:p w14:paraId="4000ECAF">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6D1B6AF">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网络商品销售者应当依法履行七日无理由退货义务，不得擅自扩大不适用七日无理由退货的商品范围。</w:t>
            </w:r>
          </w:p>
        </w:tc>
        <w:tc>
          <w:tcPr>
            <w:tcW w:w="1309" w:type="dxa"/>
            <w:noWrap w:val="0"/>
            <w:vAlign w:val="center"/>
          </w:tcPr>
          <w:p w14:paraId="35B0264C">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63889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5B6D8C4">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20</w:t>
            </w:r>
          </w:p>
        </w:tc>
        <w:tc>
          <w:tcPr>
            <w:tcW w:w="1706" w:type="dxa"/>
            <w:noWrap w:val="0"/>
            <w:vAlign w:val="center"/>
          </w:tcPr>
          <w:p w14:paraId="05AE0FF1">
            <w:pPr>
              <w:spacing w:line="280" w:lineRule="exact"/>
              <w:ind w:firstLine="480" w:firstLineChars="20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网络商品销售者不得故意拖延或者无理拒绝消费者的退货请求</w:t>
            </w:r>
          </w:p>
        </w:tc>
        <w:tc>
          <w:tcPr>
            <w:tcW w:w="2187" w:type="dxa"/>
            <w:noWrap w:val="0"/>
            <w:vAlign w:val="center"/>
          </w:tcPr>
          <w:p w14:paraId="0B62F1A7">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一、以消费者已拆封、查验影响商品完好为由拒绝退货；</w:t>
            </w:r>
          </w:p>
          <w:p w14:paraId="04A7CF98">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二、自收到消费者退货要求之日起超过十五日未办理退货手续；</w:t>
            </w:r>
          </w:p>
          <w:p w14:paraId="7607A23A">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三、未向消费者提供真实、准确的退货地址、退货联系人等有效联系信息，致使消费者无法办理退货手续；</w:t>
            </w:r>
          </w:p>
          <w:p w14:paraId="478210DB">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snapToGrid/>
                <w:color w:val="auto"/>
                <w:sz w:val="24"/>
                <w:szCs w:val="24"/>
              </w:rPr>
              <w:t>四、在收到退回商品之日起超过十五日未向消费者退款。</w:t>
            </w:r>
          </w:p>
        </w:tc>
        <w:tc>
          <w:tcPr>
            <w:tcW w:w="4750" w:type="dxa"/>
            <w:noWrap w:val="0"/>
            <w:vAlign w:val="top"/>
          </w:tcPr>
          <w:p w14:paraId="735F4071">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《网络购买商品七日无理由退货暂行办法》</w:t>
            </w:r>
          </w:p>
          <w:p w14:paraId="3E68E7BF">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 xml:space="preserve">第三十一条 </w:t>
            </w:r>
            <w:r>
              <w:rPr>
                <w:rFonts w:hint="default" w:ascii="Times New Roman" w:hAnsi="Times New Roman" w:eastAsia="仿宋_GB2312" w:cs="Times New Roman"/>
                <w:kern w:val="0"/>
                <w:sz w:val="24"/>
              </w:rPr>
              <w:t>网络商品销售者违反本办法规定，有下列情形之一的，依照《消费者权益保护法》第五十六条第一款第（八）项规定予以处罚：</w:t>
            </w:r>
          </w:p>
          <w:p w14:paraId="4350AA6D">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（一）未经消费者在购买时确认，</w:t>
            </w:r>
          </w:p>
          <w:p w14:paraId="0CC410C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擅自以商品不适用七日无理由退货为由拒绝退货，或者以消费者已拆封、查验影响商品完好为由拒绝退货的；</w:t>
            </w:r>
          </w:p>
          <w:p w14:paraId="7A17DE43">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（二）自收到消费者退货要求之日起超过十五日未办理退货手续，或者未向消费者提供真实、准确的退货地址、退货联系人等有效联系信息，致使消费者无法办理退货手续的；</w:t>
            </w:r>
          </w:p>
          <w:p w14:paraId="11AC042B">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（三）在收到退回商品之日起超过十五日未向消费者返还已支付的商品价款的。</w:t>
            </w:r>
          </w:p>
          <w:p w14:paraId="5D55890C">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《中华人民共和国消费者权益保护法》</w:t>
            </w:r>
          </w:p>
          <w:p w14:paraId="2204D148">
            <w:pPr>
              <w:pStyle w:val="7"/>
              <w:spacing w:line="280" w:lineRule="exact"/>
              <w:ind w:firstLine="482" w:firstLineChars="200"/>
              <w:rPr>
                <w:rFonts w:ascii="Times New Roman" w:hAnsi="Times New Roman" w:eastAsia="仿宋_GB2312" w:cs="Times New Roman"/>
                <w:kern w:val="0"/>
                <w:sz w:val="24"/>
              </w:rPr>
            </w:pPr>
            <w:r>
              <w:rPr>
                <w:rFonts w:hint="default" w:ascii="Times New Roman" w:hAnsi="Times New Roman" w:eastAsia="仿宋_GB2312" w:cs="Times New Roman"/>
                <w:b/>
                <w:kern w:val="0"/>
                <w:sz w:val="24"/>
              </w:rPr>
              <w:t>第五十六条</w:t>
            </w:r>
            <w:r>
              <w:rPr>
                <w:rFonts w:ascii="Times New Roman" w:hAnsi="Times New Roman" w:eastAsia="仿宋_GB2312" w:cs="Times New Roman"/>
                <w:b/>
                <w:kern w:val="0"/>
                <w:sz w:val="24"/>
              </w:rPr>
              <w:t xml:space="preserve"> </w:t>
            </w:r>
            <w:r>
              <w:rPr>
                <w:rFonts w:hint="default" w:ascii="Times New Roman" w:hAnsi="Times New Roman" w:eastAsia="仿宋_GB2312" w:cs="Times New Roman"/>
                <w:kern w:val="0"/>
                <w:sz w:val="24"/>
              </w:rPr>
              <w:t>经营者有下列情形之一，除承担相应的民事责任外，其他有关法律、法规对处罚机关和处罚方式有规定的，依照法律、法规的规定执行；法律、法规未作规定的，由工商行政管理部门或者其他有关行政部门责令改正，可以根据情节单处或者并处警告、没收违法所得、处以违法所得一倍以上十倍以下的罚款，没有违法所得的，处以五十万元以下的罚款；情节严重的，责令停业整顿、吊销营业执照：</w:t>
            </w:r>
          </w:p>
          <w:p w14:paraId="07C687E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（八）对消费者提出的修理、重作、更换、退货、补足商品数量、退还货款和服务费用或者赔偿损失的要求，故意拖延或者无理拒绝的；</w:t>
            </w:r>
          </w:p>
        </w:tc>
        <w:tc>
          <w:tcPr>
            <w:tcW w:w="1196" w:type="dxa"/>
            <w:noWrap w:val="0"/>
            <w:vAlign w:val="center"/>
          </w:tcPr>
          <w:p w14:paraId="6B4F5B26">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70A8385">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w:t>
            </w:r>
            <w:r>
              <w:rPr>
                <w:rFonts w:ascii="Times New Roman" w:hAnsi="Times New Roman" w:eastAsia="仿宋_GB2312" w:cs="Times New Roman"/>
                <w:kern w:val="0"/>
                <w:sz w:val="24"/>
              </w:rPr>
              <w:t>网络商品销售者对于商品完好的判断，应当按照《网络购买商品七日无理由退货暂行办法》第八条规定，对于商品能够保持原有品质、功能，商品本身、配件、商标标识齐全的，视为商品完好。消费者基于查验需要而打开商品包装，或者为确认商品的品质、功能而进行合理的调试不影响商品的完好</w:t>
            </w:r>
            <w:r>
              <w:rPr>
                <w:rFonts w:hint="default" w:ascii="Times New Roman" w:hAnsi="Times New Roman" w:eastAsia="仿宋_GB2312" w:cs="Times New Roman"/>
                <w:kern w:val="0"/>
                <w:sz w:val="24"/>
              </w:rPr>
              <w:t>；</w:t>
            </w:r>
          </w:p>
          <w:p w14:paraId="7E886A29">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w:t>
            </w:r>
            <w:r>
              <w:rPr>
                <w:rFonts w:ascii="Times New Roman" w:hAnsi="Times New Roman" w:eastAsia="仿宋_GB2312" w:cs="Times New Roman"/>
                <w:kern w:val="0"/>
                <w:sz w:val="24"/>
              </w:rPr>
              <w:t>网络商品销售者对于商品不完好的判断，应当按照《网络购买商品七日无理由退货暂行办法》第九条规定，对超出查验和确认商品品质、功能需要而使用商品，导致商品价值贬损较大的，视为商品不完好。</w:t>
            </w:r>
          </w:p>
        </w:tc>
        <w:tc>
          <w:tcPr>
            <w:tcW w:w="1309" w:type="dxa"/>
            <w:noWrap w:val="0"/>
            <w:vAlign w:val="center"/>
          </w:tcPr>
          <w:p w14:paraId="6C6FD3FD">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354CC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1688A58">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21</w:t>
            </w:r>
          </w:p>
        </w:tc>
        <w:tc>
          <w:tcPr>
            <w:tcW w:w="1706" w:type="dxa"/>
            <w:noWrap w:val="0"/>
            <w:vAlign w:val="center"/>
          </w:tcPr>
          <w:p w14:paraId="6116CD5F">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color w:val="auto"/>
                <w:sz w:val="24"/>
                <w:szCs w:val="24"/>
                <w:lang w:eastAsia="zh-CN"/>
              </w:rPr>
              <w:t>广告不得含有虚假或者引人误解的内容</w:t>
            </w:r>
          </w:p>
        </w:tc>
        <w:tc>
          <w:tcPr>
            <w:tcW w:w="2187" w:type="dxa"/>
            <w:noWrap w:val="0"/>
            <w:vAlign w:val="center"/>
          </w:tcPr>
          <w:p w14:paraId="73E85DBE">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w:t>
            </w:r>
            <w:r>
              <w:rPr>
                <w:rFonts w:ascii="Times New Roman" w:hAnsi="Times New Roman" w:eastAsia="仿宋_GB2312" w:cs="Times New Roman"/>
                <w:kern w:val="0"/>
                <w:sz w:val="24"/>
              </w:rPr>
              <w:t>商品或者服务不存在的；</w:t>
            </w:r>
          </w:p>
          <w:p w14:paraId="7514DA07">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w:t>
            </w:r>
            <w:r>
              <w:rPr>
                <w:rFonts w:ascii="Times New Roman" w:hAnsi="Times New Roman" w:eastAsia="仿宋_GB2312" w:cs="Times New Roman"/>
                <w:kern w:val="0"/>
                <w:sz w:val="24"/>
              </w:rPr>
              <w:t>商品的性能、功能、产地、用途、质量、规格、成分、价格、生产者、有效期限、销售状况、曾获荣誉等信息，或者服务的内容、提供者、形式、质量、价格、销售状况、曾获荣誉等信息，以及与商品或者服务有关的允诺等信息与实际情况不符，对购买行为有实质性影响的；</w:t>
            </w:r>
          </w:p>
          <w:p w14:paraId="0BF3FF5C">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w:t>
            </w:r>
            <w:r>
              <w:rPr>
                <w:rFonts w:ascii="Times New Roman" w:hAnsi="Times New Roman" w:eastAsia="仿宋_GB2312" w:cs="Times New Roman"/>
                <w:kern w:val="0"/>
                <w:sz w:val="24"/>
              </w:rPr>
              <w:t>使用虚构、伪造或者无法验证的科研成果、统计资料、调查结果、文摘、引用语等信息作证明材料的；</w:t>
            </w:r>
          </w:p>
          <w:p w14:paraId="6F136115">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w:t>
            </w:r>
            <w:r>
              <w:rPr>
                <w:rFonts w:ascii="Times New Roman" w:hAnsi="Times New Roman" w:eastAsia="仿宋_GB2312" w:cs="Times New Roman"/>
                <w:kern w:val="0"/>
                <w:sz w:val="24"/>
              </w:rPr>
              <w:t>虚构使用商品或者接受服务的效果的；</w:t>
            </w:r>
          </w:p>
          <w:p w14:paraId="241B24E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z w:val="24"/>
                <w:szCs w:val="24"/>
                <w:lang w:eastAsia="zh-CN"/>
              </w:rPr>
              <w:t>五、</w:t>
            </w:r>
            <w:r>
              <w:rPr>
                <w:rFonts w:ascii="Times New Roman" w:hAnsi="Times New Roman" w:eastAsia="仿宋_GB2312" w:cs="Times New Roman"/>
                <w:sz w:val="24"/>
                <w:szCs w:val="24"/>
                <w:lang w:eastAsia="zh-CN"/>
              </w:rPr>
              <w:t>以虚假或者引人误解的内容欺骗、误导消费者的其他情形。</w:t>
            </w:r>
          </w:p>
        </w:tc>
        <w:tc>
          <w:tcPr>
            <w:tcW w:w="4750" w:type="dxa"/>
            <w:noWrap w:val="0"/>
            <w:vAlign w:val="top"/>
          </w:tcPr>
          <w:p w14:paraId="60E304C3">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《中华人民共和国广告法》</w:t>
            </w:r>
          </w:p>
          <w:p w14:paraId="4B54C1FB">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第四条</w:t>
            </w:r>
            <w:r>
              <w:rPr>
                <w:rFonts w:hint="default" w:ascii="Times New Roman" w:hAnsi="Times New Roman" w:eastAsia="仿宋_GB2312" w:cs="Times New Roman"/>
                <w:b/>
                <w:kern w:val="0"/>
                <w:sz w:val="24"/>
              </w:rPr>
              <w:t xml:space="preserve">第一款 </w:t>
            </w:r>
            <w:r>
              <w:rPr>
                <w:rFonts w:ascii="Times New Roman" w:hAnsi="Times New Roman" w:eastAsia="仿宋_GB2312" w:cs="Times New Roman"/>
                <w:kern w:val="0"/>
                <w:sz w:val="24"/>
              </w:rPr>
              <w:t>广告不得含有虚假或者引人误解的内容，不得欺骗、误导消费者。</w:t>
            </w:r>
          </w:p>
          <w:p w14:paraId="0E2046E5">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第二十八条</w:t>
            </w:r>
            <w:r>
              <w:rPr>
                <w:rFonts w:hint="default" w:ascii="Times New Roman" w:hAnsi="Times New Roman" w:eastAsia="仿宋_GB2312" w:cs="Times New Roman"/>
                <w:b/>
                <w:kern w:val="0"/>
                <w:sz w:val="24"/>
              </w:rPr>
              <w:t xml:space="preserve"> </w:t>
            </w:r>
            <w:r>
              <w:rPr>
                <w:rFonts w:ascii="Times New Roman" w:hAnsi="Times New Roman" w:eastAsia="仿宋_GB2312" w:cs="Times New Roman"/>
                <w:kern w:val="0"/>
                <w:sz w:val="24"/>
              </w:rPr>
              <w:t>广告以虚假或者引人误解的内容欺骗、误导消费者的，构成虚假广告。</w:t>
            </w:r>
          </w:p>
          <w:p w14:paraId="28E3A49A">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广告有下列情形之一的，为虚假广告：</w:t>
            </w:r>
          </w:p>
          <w:p w14:paraId="132DF352">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（一）商品或者服务不存在的；</w:t>
            </w:r>
          </w:p>
          <w:p w14:paraId="1EB982A9">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二）商品的性能、功能、产地、用途、质量、规格、成分、价格、生产者、有效期限、销售状况、曾获荣誉等信息，或者服务的内容、提供者、形式、质量、价格、销售状况、曾获荣誉等信息，以及与商品或者服务有关的允诺等信息与实际情况不符，对购买行为有实质性影响的；</w:t>
            </w:r>
          </w:p>
          <w:p w14:paraId="285066C4">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（三）使用虚构、伪造或者无法验证的科研成果、统计资料、调查结果、文摘、引用语等信息作证明材料的；</w:t>
            </w:r>
          </w:p>
          <w:p w14:paraId="4411335F">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（四）虚构使用商品或者接受服务的效果的；</w:t>
            </w:r>
          </w:p>
          <w:p w14:paraId="7F53F650">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（五）以虚假或者引人误解的内容欺骗、误导消费者的其他情形。</w:t>
            </w:r>
          </w:p>
          <w:p w14:paraId="79187A1D">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第五十五条</w:t>
            </w:r>
            <w:r>
              <w:rPr>
                <w:rFonts w:hint="default" w:ascii="Times New Roman" w:hAnsi="Times New Roman" w:eastAsia="仿宋_GB2312" w:cs="Times New Roman"/>
                <w:b/>
                <w:kern w:val="0"/>
                <w:sz w:val="24"/>
              </w:rPr>
              <w:t xml:space="preserve">第一款 </w:t>
            </w:r>
            <w:r>
              <w:rPr>
                <w:rFonts w:ascii="Times New Roman" w:hAnsi="Times New Roman" w:eastAsia="仿宋_GB2312" w:cs="Times New Roman"/>
                <w:kern w:val="0"/>
                <w:sz w:val="24"/>
              </w:rPr>
              <w:t>违反本法规定，发布虚假广告的，由市场监督管理部门责令停止发布广告，责令广告主在相应范围内消除影响，处广告费用三倍以上五倍以下的罚款，广告费用无法计算或者明显偏低的，处二十万元以上一百万元以下的罚款；两年内有三次以上违法行为或者有其他严重情节的，处广告费用五倍以上十倍以下的罚款，广告费用无法计算或者明显偏低的，处一百万元以上二百万元以下的罚款，可以吊销营业执照，并由广告审查机关撤销广告审查批准文件、一年内不受理其广告审查申请。</w:t>
            </w:r>
          </w:p>
        </w:tc>
        <w:tc>
          <w:tcPr>
            <w:tcW w:w="1196" w:type="dxa"/>
            <w:noWrap w:val="0"/>
            <w:vAlign w:val="center"/>
          </w:tcPr>
          <w:p w14:paraId="05792661">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1097F318">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广告活动必须符合法律的规定，真实、客观地宣传有关商品或者服务。</w:t>
            </w:r>
          </w:p>
        </w:tc>
        <w:tc>
          <w:tcPr>
            <w:tcW w:w="1309" w:type="dxa"/>
            <w:noWrap w:val="0"/>
            <w:vAlign w:val="center"/>
          </w:tcPr>
          <w:p w14:paraId="4F70D941">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12A2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A1844A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22</w:t>
            </w:r>
          </w:p>
        </w:tc>
        <w:tc>
          <w:tcPr>
            <w:tcW w:w="1706" w:type="dxa"/>
            <w:noWrap w:val="0"/>
            <w:vAlign w:val="center"/>
          </w:tcPr>
          <w:p w14:paraId="0367E02B">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广告不得含有禁止的内容</w:t>
            </w:r>
          </w:p>
        </w:tc>
        <w:tc>
          <w:tcPr>
            <w:tcW w:w="2187" w:type="dxa"/>
            <w:noWrap w:val="0"/>
            <w:vAlign w:val="center"/>
          </w:tcPr>
          <w:p w14:paraId="1EE16FFA">
            <w:pPr>
              <w:pStyle w:val="7"/>
              <w:spacing w:line="280" w:lineRule="exact"/>
              <w:ind w:firstLine="600" w:firstLineChars="25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一、</w:t>
            </w:r>
            <w:r>
              <w:rPr>
                <w:rFonts w:ascii="Times New Roman" w:hAnsi="Times New Roman" w:eastAsia="仿宋_GB2312" w:cs="Times New Roman"/>
                <w:kern w:val="0"/>
                <w:sz w:val="24"/>
              </w:rPr>
              <w:t>使用或者变相使用中华人民共和国的国旗、国歌、国徽，军旗、军歌、军徽；</w:t>
            </w:r>
          </w:p>
          <w:p w14:paraId="017C8C0A">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二、</w:t>
            </w:r>
            <w:r>
              <w:rPr>
                <w:rFonts w:ascii="Times New Roman" w:hAnsi="Times New Roman" w:eastAsia="仿宋_GB2312" w:cs="Times New Roman"/>
                <w:kern w:val="0"/>
                <w:sz w:val="24"/>
              </w:rPr>
              <w:t>使用或者变相使用国家机关、国家机关工作人员的名义或者形象；</w:t>
            </w:r>
          </w:p>
          <w:p w14:paraId="624BDFB3">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三、</w:t>
            </w:r>
            <w:r>
              <w:rPr>
                <w:rFonts w:ascii="Times New Roman" w:hAnsi="Times New Roman" w:eastAsia="仿宋_GB2312" w:cs="Times New Roman"/>
                <w:kern w:val="0"/>
                <w:sz w:val="24"/>
              </w:rPr>
              <w:t>使用“国家级”、“最高级”、“最佳”等用语；</w:t>
            </w:r>
          </w:p>
          <w:p w14:paraId="4B8E8DF9">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四、</w:t>
            </w:r>
            <w:r>
              <w:rPr>
                <w:rFonts w:ascii="Times New Roman" w:hAnsi="Times New Roman" w:eastAsia="仿宋_GB2312" w:cs="Times New Roman"/>
                <w:kern w:val="0"/>
                <w:sz w:val="24"/>
              </w:rPr>
              <w:t>损害国家的尊严或者利益，泄露国家秘密；</w:t>
            </w:r>
          </w:p>
          <w:p w14:paraId="7FCF6B4F">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五</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妨碍社会安定，损害社会公共利益；</w:t>
            </w:r>
          </w:p>
          <w:p w14:paraId="72A783AE">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六</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危害人身、财产安全，泄露个人隐私；</w:t>
            </w:r>
          </w:p>
          <w:p w14:paraId="1FE45094">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七</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妨碍社会公共秩序或者违背社会良好风尚；</w:t>
            </w:r>
          </w:p>
          <w:p w14:paraId="4392B93E">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八</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含有淫秽、色情、赌博、迷信、恐怖、暴力的内容；</w:t>
            </w:r>
          </w:p>
          <w:p w14:paraId="4699E3E1">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九</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含有民族、种族、宗教、性别歧视的内容；</w:t>
            </w:r>
          </w:p>
          <w:p w14:paraId="2C20DE01">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十</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妨碍环境、自然资源或者文化遗产保护；</w:t>
            </w:r>
          </w:p>
          <w:p w14:paraId="771D6D77">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十一</w:t>
            </w:r>
            <w:r>
              <w:rPr>
                <w:rFonts w:hint="default" w:ascii="Times New Roman" w:hAnsi="Times New Roman" w:eastAsia="仿宋_GB2312" w:cs="Times New Roman"/>
                <w:kern w:val="0"/>
                <w:sz w:val="24"/>
              </w:rPr>
              <w:t>、</w:t>
            </w:r>
            <w:r>
              <w:rPr>
                <w:rFonts w:ascii="Times New Roman" w:hAnsi="Times New Roman" w:eastAsia="仿宋_GB2312" w:cs="Times New Roman"/>
                <w:kern w:val="0"/>
                <w:sz w:val="24"/>
              </w:rPr>
              <w:t>损害未成年人和残疾人的身心健康。</w:t>
            </w:r>
          </w:p>
        </w:tc>
        <w:tc>
          <w:tcPr>
            <w:tcW w:w="4750" w:type="dxa"/>
            <w:noWrap w:val="0"/>
            <w:vAlign w:val="top"/>
          </w:tcPr>
          <w:p w14:paraId="4F3E0B51">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《中华人民共和国广告法》</w:t>
            </w:r>
          </w:p>
          <w:p w14:paraId="51AF27D4">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第九条</w:t>
            </w:r>
            <w:r>
              <w:rPr>
                <w:rFonts w:hint="default" w:ascii="Times New Roman" w:hAnsi="Times New Roman" w:eastAsia="仿宋_GB2312" w:cs="Times New Roman"/>
                <w:b/>
                <w:kern w:val="0"/>
                <w:sz w:val="24"/>
              </w:rPr>
              <w:t xml:space="preserve"> </w:t>
            </w:r>
            <w:r>
              <w:rPr>
                <w:rFonts w:ascii="Times New Roman" w:hAnsi="Times New Roman" w:eastAsia="仿宋_GB2312" w:cs="Times New Roman"/>
                <w:kern w:val="0"/>
                <w:sz w:val="24"/>
              </w:rPr>
              <w:t>广告不得有下列情形：</w:t>
            </w:r>
          </w:p>
          <w:p w14:paraId="203F0240">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（一）使用或者变相使用中华人民共和国的国旗、国歌、国徽，军旗、军歌、军徽；</w:t>
            </w:r>
          </w:p>
          <w:p w14:paraId="28ADC677">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（二）使用或者变相使用国家机关、国家机关工作人员的名义或者形象；</w:t>
            </w:r>
          </w:p>
          <w:p w14:paraId="24C1C65F">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（三）使用“国家级”、“最高级”、“最佳”等用语；</w:t>
            </w:r>
          </w:p>
          <w:p w14:paraId="6E49DE39">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（四）损害国家的尊严或者利益，泄露国家秘密；</w:t>
            </w:r>
          </w:p>
          <w:p w14:paraId="31C954AE">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（五）妨碍社会安定，损害社会公共利益；</w:t>
            </w:r>
          </w:p>
          <w:p w14:paraId="002F5E3A">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（六）危害人身、财产安全，泄露个人隐私；</w:t>
            </w:r>
          </w:p>
          <w:p w14:paraId="37EFBE41">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（七）妨碍社会公共秩序或者违背社会良好风尚；</w:t>
            </w:r>
          </w:p>
          <w:p w14:paraId="729191CE">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（八）含有淫秽、色情、赌博、迷信、恐怖、暴力的内容；</w:t>
            </w:r>
          </w:p>
          <w:p w14:paraId="605B429B">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（九）含有民族、种族、宗教、性别歧视的内容；</w:t>
            </w:r>
          </w:p>
          <w:p w14:paraId="0DE3EC6F">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（十）妨碍环境、自然资源或者文化遗产保护；</w:t>
            </w:r>
          </w:p>
          <w:p w14:paraId="608CC6C2">
            <w:pPr>
              <w:pStyle w:val="7"/>
              <w:spacing w:line="280" w:lineRule="exact"/>
              <w:ind w:firstLine="480" w:firstLineChars="200"/>
              <w:rPr>
                <w:rFonts w:ascii="Times New Roman" w:hAnsi="Times New Roman" w:eastAsia="仿宋_GB2312" w:cs="Times New Roman"/>
                <w:kern w:val="0"/>
                <w:sz w:val="24"/>
              </w:rPr>
            </w:pPr>
            <w:r>
              <w:rPr>
                <w:rFonts w:ascii="Times New Roman" w:hAnsi="Times New Roman" w:eastAsia="仿宋_GB2312" w:cs="Times New Roman"/>
                <w:kern w:val="0"/>
                <w:sz w:val="24"/>
              </w:rPr>
              <w:t>（十一）法律、行政法规规定禁止的其他情形。</w:t>
            </w:r>
          </w:p>
          <w:p w14:paraId="2A38D5D9">
            <w:pPr>
              <w:pStyle w:val="7"/>
              <w:spacing w:line="280" w:lineRule="exact"/>
              <w:ind w:firstLine="482" w:firstLineChars="200"/>
              <w:rPr>
                <w:rFonts w:ascii="Times New Roman" w:hAnsi="Times New Roman" w:eastAsia="仿宋_GB2312" w:cs="Times New Roman"/>
                <w:kern w:val="0"/>
                <w:sz w:val="24"/>
              </w:rPr>
            </w:pPr>
            <w:r>
              <w:rPr>
                <w:rFonts w:ascii="Times New Roman" w:hAnsi="Times New Roman" w:eastAsia="仿宋_GB2312" w:cs="Times New Roman"/>
                <w:b/>
                <w:kern w:val="0"/>
                <w:sz w:val="24"/>
              </w:rPr>
              <w:t>第十条</w:t>
            </w:r>
            <w:r>
              <w:rPr>
                <w:rFonts w:hint="default" w:ascii="Times New Roman" w:hAnsi="Times New Roman" w:eastAsia="仿宋_GB2312" w:cs="Times New Roman"/>
                <w:b/>
                <w:kern w:val="0"/>
                <w:sz w:val="24"/>
              </w:rPr>
              <w:t xml:space="preserve"> </w:t>
            </w:r>
            <w:r>
              <w:rPr>
                <w:rFonts w:ascii="Times New Roman" w:hAnsi="Times New Roman" w:eastAsia="仿宋_GB2312" w:cs="Times New Roman"/>
                <w:kern w:val="0"/>
                <w:sz w:val="24"/>
              </w:rPr>
              <w:t>广告不得损害未成年人和残疾人的身心健康。</w:t>
            </w:r>
          </w:p>
          <w:p w14:paraId="75E767DC">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第五十七条</w:t>
            </w:r>
            <w:r>
              <w:rPr>
                <w:rFonts w:hint="default" w:ascii="Times New Roman" w:hAnsi="Times New Roman" w:eastAsia="仿宋_GB2312" w:cs="Times New Roman"/>
                <w:b/>
                <w:snapToGrid w:val="0"/>
                <w:sz w:val="24"/>
              </w:rPr>
              <w:t>第（一）项</w:t>
            </w:r>
            <w:r>
              <w:rPr>
                <w:rFonts w:hint="default" w:ascii="Times New Roman" w:hAnsi="Times New Roman" w:eastAsia="仿宋_GB2312" w:cs="Times New Roman"/>
                <w:b/>
                <w:sz w:val="24"/>
              </w:rPr>
              <w:t xml:space="preserve"> </w:t>
            </w:r>
            <w:r>
              <w:rPr>
                <w:rFonts w:ascii="Times New Roman" w:hAnsi="Times New Roman" w:eastAsia="仿宋_GB2312" w:cs="Times New Roman"/>
                <w:snapToGrid w:val="0"/>
                <w:sz w:val="24"/>
              </w:rPr>
              <w:t>有下列行为之一的，由市场监督管理部门责令停止发布广告，对广告主处二十万元以上一百万元以下的罚款，情节严重的，并可以吊销营业执照，由广告审查机关撤销广告审查批准文件、一年内不受理其广告审查申请；对广告经营者、广告发布者，由市场监督管理部门没收广告费用，处二十万元以上一百万元以下的罚款，情节严重的，并可以吊销营业执照：</w:t>
            </w:r>
          </w:p>
          <w:p w14:paraId="6D6A0717">
            <w:pPr>
              <w:spacing w:line="280" w:lineRule="exact"/>
              <w:ind w:firstLine="640"/>
              <w:rPr>
                <w:rFonts w:ascii="Times New Roman" w:hAnsi="Times New Roman" w:eastAsia="仿宋_GB2312" w:cs="Times New Roman"/>
                <w:snapToGrid/>
                <w:color w:val="auto"/>
                <w:sz w:val="24"/>
                <w:szCs w:val="24"/>
              </w:rPr>
            </w:pPr>
            <w:r>
              <w:rPr>
                <w:rFonts w:ascii="Times New Roman" w:hAnsi="Times New Roman" w:eastAsia="仿宋_GB2312" w:cs="Times New Roman"/>
                <w:snapToGrid/>
                <w:color w:val="auto"/>
                <w:sz w:val="24"/>
                <w:szCs w:val="24"/>
              </w:rPr>
              <w:t>（一）发布有本法第九条、第十条规定的禁止情形的广告的；</w:t>
            </w:r>
          </w:p>
        </w:tc>
        <w:tc>
          <w:tcPr>
            <w:tcW w:w="1196" w:type="dxa"/>
            <w:noWrap w:val="0"/>
            <w:vAlign w:val="center"/>
          </w:tcPr>
          <w:p w14:paraId="08376F7C">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1EFA5E8">
            <w:pPr>
              <w:pStyle w:val="7"/>
              <w:spacing w:line="280" w:lineRule="exact"/>
              <w:ind w:firstLine="480" w:firstLineChars="200"/>
              <w:rPr>
                <w:rFonts w:ascii="Times New Roman" w:hAnsi="Times New Roman" w:eastAsia="仿宋_GB2312" w:cs="Times New Roman"/>
                <w:kern w:val="0"/>
                <w:sz w:val="24"/>
              </w:rPr>
            </w:pPr>
            <w:r>
              <w:rPr>
                <w:rFonts w:hint="default" w:ascii="Times New Roman" w:hAnsi="Times New Roman" w:eastAsia="仿宋_GB2312" w:cs="Times New Roman"/>
                <w:kern w:val="0"/>
                <w:sz w:val="24"/>
              </w:rPr>
              <w:t>要加强广告内容自我审查，首先要看广告内容的导向是否正确，其次要看广告内容是否含有禁止的内容。</w:t>
            </w:r>
          </w:p>
        </w:tc>
        <w:tc>
          <w:tcPr>
            <w:tcW w:w="1309" w:type="dxa"/>
            <w:noWrap w:val="0"/>
            <w:vAlign w:val="center"/>
          </w:tcPr>
          <w:p w14:paraId="38FD41D8">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02B88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1F401E1">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23</w:t>
            </w:r>
          </w:p>
        </w:tc>
        <w:tc>
          <w:tcPr>
            <w:tcW w:w="1706" w:type="dxa"/>
            <w:noWrap w:val="0"/>
            <w:vAlign w:val="center"/>
          </w:tcPr>
          <w:p w14:paraId="6FCD8453">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sz w:val="24"/>
                <w:szCs w:val="24"/>
                <w:lang w:eastAsia="zh-CN"/>
              </w:rPr>
              <w:t>广告的</w:t>
            </w:r>
            <w:r>
              <w:rPr>
                <w:rFonts w:ascii="Times New Roman" w:hAnsi="Times New Roman" w:eastAsia="仿宋_GB2312" w:cs="Times New Roman"/>
                <w:snapToGrid/>
                <w:sz w:val="24"/>
                <w:szCs w:val="24"/>
                <w:lang w:eastAsia="zh-CN"/>
              </w:rPr>
              <w:t>引证内容应当真实、准确</w:t>
            </w:r>
          </w:p>
        </w:tc>
        <w:tc>
          <w:tcPr>
            <w:tcW w:w="2187" w:type="dxa"/>
            <w:noWrap w:val="0"/>
            <w:vAlign w:val="center"/>
          </w:tcPr>
          <w:p w14:paraId="062E59F2">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 xml:space="preserve"> 广告的引证内容没有出处。</w:t>
            </w:r>
          </w:p>
        </w:tc>
        <w:tc>
          <w:tcPr>
            <w:tcW w:w="4750" w:type="dxa"/>
            <w:noWrap w:val="0"/>
            <w:vAlign w:val="top"/>
          </w:tcPr>
          <w:p w14:paraId="0DB7EF26">
            <w:pPr>
              <w:pStyle w:val="7"/>
              <w:spacing w:line="280" w:lineRule="exact"/>
              <w:rPr>
                <w:rFonts w:ascii="Times New Roman" w:hAnsi="Times New Roman" w:eastAsia="仿宋_GB2312" w:cs="Times New Roman"/>
                <w:b/>
                <w:kern w:val="0"/>
                <w:sz w:val="24"/>
              </w:rPr>
            </w:pPr>
            <w:r>
              <w:rPr>
                <w:rFonts w:hint="default" w:ascii="Times New Roman" w:hAnsi="Times New Roman" w:eastAsia="仿宋_GB2312" w:cs="Times New Roman"/>
                <w:b/>
                <w:kern w:val="0"/>
                <w:sz w:val="24"/>
              </w:rPr>
              <w:t>《中华人民共和国广告法》</w:t>
            </w:r>
          </w:p>
          <w:p w14:paraId="166F9B5A">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第十一条</w:t>
            </w:r>
            <w:r>
              <w:rPr>
                <w:rFonts w:hint="default" w:ascii="Times New Roman" w:hAnsi="Times New Roman" w:eastAsia="仿宋_GB2312" w:cs="Times New Roman"/>
                <w:snapToGrid w:val="0"/>
                <w:sz w:val="24"/>
              </w:rPr>
              <w:t xml:space="preserve">第二款 </w:t>
            </w:r>
            <w:r>
              <w:rPr>
                <w:rFonts w:ascii="Times New Roman" w:hAnsi="Times New Roman" w:eastAsia="仿宋_GB2312" w:cs="Times New Roman"/>
                <w:snapToGrid w:val="0"/>
                <w:sz w:val="24"/>
              </w:rPr>
              <w:t>广告使用数据、统计资料、调查结果、文摘、引用语等，并表明出处。引证内容有适用范围和有效期限的，应当明确表示。</w:t>
            </w:r>
          </w:p>
          <w:p w14:paraId="16015D0E">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第五十九条</w:t>
            </w:r>
            <w:r>
              <w:rPr>
                <w:rFonts w:hint="default" w:ascii="Times New Roman" w:hAnsi="Times New Roman" w:eastAsia="仿宋_GB2312" w:cs="Times New Roman"/>
                <w:b/>
                <w:snapToGrid w:val="0"/>
                <w:sz w:val="24"/>
              </w:rPr>
              <w:t xml:space="preserve">第一款第（二）项 </w:t>
            </w:r>
            <w:r>
              <w:rPr>
                <w:rFonts w:ascii="Times New Roman" w:hAnsi="Times New Roman" w:eastAsia="仿宋_GB2312" w:cs="Times New Roman"/>
                <w:snapToGrid w:val="0"/>
                <w:sz w:val="24"/>
              </w:rPr>
              <w:t>有下列行为之一的，由市场监督管理部门责令停止发布广告，对广告主处十万元以下的罚款：</w:t>
            </w:r>
          </w:p>
          <w:p w14:paraId="6C65DE52">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（二）广告引证内容违反本法第十一条规定的；</w:t>
            </w:r>
          </w:p>
        </w:tc>
        <w:tc>
          <w:tcPr>
            <w:tcW w:w="1196" w:type="dxa"/>
            <w:noWrap w:val="0"/>
            <w:vAlign w:val="center"/>
          </w:tcPr>
          <w:p w14:paraId="6F9411B3">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40E83C5">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广告中不得使用虚构、伪造或者</w:t>
            </w:r>
            <w:r>
              <w:rPr>
                <w:rFonts w:hint="default" w:ascii="Times New Roman" w:hAnsi="Times New Roman" w:eastAsia="仿宋_GB2312" w:cs="Times New Roman"/>
                <w:snapToGrid w:val="0"/>
                <w:sz w:val="24"/>
              </w:rPr>
              <w:t>没有出处</w:t>
            </w:r>
            <w:r>
              <w:rPr>
                <w:rFonts w:ascii="Times New Roman" w:hAnsi="Times New Roman" w:eastAsia="仿宋_GB2312" w:cs="Times New Roman"/>
                <w:snapToGrid w:val="0"/>
                <w:sz w:val="24"/>
              </w:rPr>
              <w:t>的数据、统计资料、调查结果、文摘、引用语</w:t>
            </w:r>
            <w:r>
              <w:rPr>
                <w:rFonts w:hint="default" w:ascii="Times New Roman" w:hAnsi="Times New Roman" w:eastAsia="仿宋_GB2312" w:cs="Times New Roman"/>
                <w:snapToGrid w:val="0"/>
                <w:sz w:val="24"/>
              </w:rPr>
              <w:t>等。</w:t>
            </w:r>
          </w:p>
          <w:p w14:paraId="4F0DE71D">
            <w:pPr>
              <w:pStyle w:val="7"/>
              <w:spacing w:line="280" w:lineRule="exact"/>
              <w:ind w:firstLine="480" w:firstLineChars="200"/>
              <w:rPr>
                <w:rFonts w:ascii="Times New Roman" w:hAnsi="Times New Roman" w:eastAsia="仿宋_GB2312" w:cs="Times New Roman"/>
                <w:snapToGrid w:val="0"/>
                <w:sz w:val="24"/>
              </w:rPr>
            </w:pPr>
          </w:p>
        </w:tc>
        <w:tc>
          <w:tcPr>
            <w:tcW w:w="1309" w:type="dxa"/>
            <w:noWrap w:val="0"/>
            <w:vAlign w:val="center"/>
          </w:tcPr>
          <w:p w14:paraId="4D25A152">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6C998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7894DD3">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24</w:t>
            </w:r>
          </w:p>
        </w:tc>
        <w:tc>
          <w:tcPr>
            <w:tcW w:w="1706" w:type="dxa"/>
            <w:noWrap w:val="0"/>
            <w:vAlign w:val="center"/>
          </w:tcPr>
          <w:p w14:paraId="37C10D1F">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广告中涉及专利产品或者专利方法的，应当标明专利号和专利种类</w:t>
            </w:r>
          </w:p>
        </w:tc>
        <w:tc>
          <w:tcPr>
            <w:tcW w:w="2187" w:type="dxa"/>
            <w:noWrap w:val="0"/>
            <w:vAlign w:val="center"/>
          </w:tcPr>
          <w:p w14:paraId="29D87ABA">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广告中涉及专利产品或者专利方法，未标明专利号或者专利种类。</w:t>
            </w:r>
          </w:p>
        </w:tc>
        <w:tc>
          <w:tcPr>
            <w:tcW w:w="4750" w:type="dxa"/>
            <w:noWrap w:val="0"/>
            <w:vAlign w:val="top"/>
          </w:tcPr>
          <w:p w14:paraId="07138367">
            <w:pPr>
              <w:pStyle w:val="7"/>
              <w:spacing w:line="280" w:lineRule="exact"/>
              <w:rPr>
                <w:rFonts w:ascii="Times New Roman" w:hAnsi="Times New Roman" w:eastAsia="仿宋_GB2312" w:cs="Times New Roman"/>
                <w:b/>
                <w:snapToGrid w:val="0"/>
                <w:sz w:val="24"/>
              </w:rPr>
            </w:pPr>
            <w:r>
              <w:rPr>
                <w:rFonts w:hint="default" w:ascii="Times New Roman" w:hAnsi="Times New Roman" w:eastAsia="仿宋_GB2312" w:cs="Times New Roman"/>
                <w:b/>
                <w:snapToGrid w:val="0"/>
                <w:sz w:val="24"/>
              </w:rPr>
              <w:t>《中华人民共和国广告法》</w:t>
            </w:r>
          </w:p>
          <w:p w14:paraId="087B4D91">
            <w:pPr>
              <w:pStyle w:val="7"/>
              <w:spacing w:line="280" w:lineRule="exact"/>
              <w:ind w:firstLine="482" w:firstLineChars="200"/>
              <w:rPr>
                <w:rFonts w:ascii="Times New Roman" w:hAnsi="Times New Roman" w:eastAsia="仿宋_GB2312" w:cs="Times New Roman"/>
                <w:snapToGrid w:val="0"/>
                <w:sz w:val="24"/>
              </w:rPr>
            </w:pPr>
            <w:r>
              <w:rPr>
                <w:rFonts w:hint="default" w:ascii="Times New Roman" w:hAnsi="Times New Roman" w:eastAsia="仿宋_GB2312" w:cs="Times New Roman"/>
                <w:b/>
                <w:snapToGrid w:val="0"/>
                <w:sz w:val="24"/>
              </w:rPr>
              <w:t xml:space="preserve">第十二条 </w:t>
            </w:r>
            <w:r>
              <w:rPr>
                <w:rFonts w:hint="default" w:ascii="Times New Roman" w:hAnsi="Times New Roman" w:eastAsia="仿宋_GB2312" w:cs="Times New Roman"/>
                <w:snapToGrid w:val="0"/>
                <w:sz w:val="24"/>
              </w:rPr>
              <w:t>广告中涉及专利产品或者专利方法的，应当标明专利号和专利种类。</w:t>
            </w:r>
          </w:p>
          <w:p w14:paraId="01471008">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未取得专利权的，不得在广告中谎称取得专利权。</w:t>
            </w:r>
          </w:p>
          <w:p w14:paraId="3FEC739C">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禁止使用未授予专利权的专利申请和已经终止、撤销、无效的专利作广告。</w:t>
            </w:r>
          </w:p>
          <w:p w14:paraId="1DD7C086">
            <w:pPr>
              <w:pStyle w:val="7"/>
              <w:spacing w:line="280" w:lineRule="exact"/>
              <w:ind w:firstLine="482" w:firstLineChars="200"/>
              <w:rPr>
                <w:rFonts w:ascii="Times New Roman" w:hAnsi="Times New Roman" w:eastAsia="仿宋_GB2312" w:cs="Times New Roman"/>
                <w:snapToGrid w:val="0"/>
                <w:sz w:val="24"/>
              </w:rPr>
            </w:pPr>
            <w:r>
              <w:rPr>
                <w:rFonts w:hint="default" w:ascii="Times New Roman" w:hAnsi="Times New Roman" w:eastAsia="仿宋_GB2312" w:cs="Times New Roman"/>
                <w:b/>
                <w:snapToGrid w:val="0"/>
                <w:sz w:val="24"/>
              </w:rPr>
              <w:t xml:space="preserve">第五十九条第一款第（三）项 </w:t>
            </w:r>
            <w:r>
              <w:rPr>
                <w:rFonts w:hint="default" w:ascii="Times New Roman" w:hAnsi="Times New Roman" w:eastAsia="仿宋_GB2312" w:cs="Times New Roman"/>
                <w:snapToGrid w:val="0"/>
                <w:sz w:val="24"/>
              </w:rPr>
              <w:t>有下列行为之一的，由市场监督管理部门责令停止发布广告，对广告主处十万元以下的罚款：</w:t>
            </w:r>
          </w:p>
          <w:p w14:paraId="1A863E0D">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（三）涉及专利的广告违反本法第十二条规定的；</w:t>
            </w:r>
          </w:p>
        </w:tc>
        <w:tc>
          <w:tcPr>
            <w:tcW w:w="1196" w:type="dxa"/>
            <w:noWrap w:val="0"/>
            <w:vAlign w:val="center"/>
          </w:tcPr>
          <w:p w14:paraId="2B3D5578">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A8AF11F">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专利号是指国家在授予专利权时在专利证书上载明的用于区别其他专利的号码。为避免引起社会公众的误解，涉及专利产品或者专利方法的广告，应标明专利号和专利种类。</w:t>
            </w:r>
          </w:p>
        </w:tc>
        <w:tc>
          <w:tcPr>
            <w:tcW w:w="1309" w:type="dxa"/>
            <w:noWrap w:val="0"/>
            <w:vAlign w:val="center"/>
          </w:tcPr>
          <w:p w14:paraId="496BC376">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04560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CE1A791">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25</w:t>
            </w:r>
          </w:p>
        </w:tc>
        <w:tc>
          <w:tcPr>
            <w:tcW w:w="1706" w:type="dxa"/>
            <w:noWrap w:val="0"/>
            <w:vAlign w:val="center"/>
          </w:tcPr>
          <w:p w14:paraId="7E048B69">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snapToGrid/>
                <w:sz w:val="24"/>
                <w:szCs w:val="24"/>
                <w:lang w:eastAsia="zh-CN"/>
              </w:rPr>
              <w:t>醉药品、精神药品、医疗用毒性药品、放射性药品等特殊药品，药品类易制毒化学品，以及戒毒治疗的药品、医疗器械和治疗方法，不得作广告</w:t>
            </w:r>
          </w:p>
        </w:tc>
        <w:tc>
          <w:tcPr>
            <w:tcW w:w="2187" w:type="dxa"/>
            <w:noWrap w:val="0"/>
            <w:vAlign w:val="center"/>
          </w:tcPr>
          <w:p w14:paraId="398A7AD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sz w:val="24"/>
                <w:szCs w:val="24"/>
                <w:lang w:eastAsia="zh-CN"/>
              </w:rPr>
              <w:t>广告中涉及</w:t>
            </w:r>
            <w:r>
              <w:rPr>
                <w:rFonts w:ascii="Times New Roman" w:hAnsi="Times New Roman" w:eastAsia="仿宋_GB2312" w:cs="Times New Roman"/>
                <w:snapToGrid/>
                <w:sz w:val="24"/>
                <w:szCs w:val="24"/>
                <w:lang w:eastAsia="zh-CN"/>
              </w:rPr>
              <w:t>醉药品、精神药品、医疗用毒性药品、放射性药品等特殊药品，药品类易制毒化学品，以及戒毒治疗的药品、医疗器械和治疗方法</w:t>
            </w:r>
            <w:r>
              <w:rPr>
                <w:rFonts w:hint="default" w:ascii="Times New Roman" w:hAnsi="Times New Roman" w:eastAsia="仿宋_GB2312" w:cs="Times New Roman"/>
                <w:snapToGrid/>
                <w:sz w:val="24"/>
                <w:szCs w:val="24"/>
                <w:lang w:eastAsia="zh-CN"/>
              </w:rPr>
              <w:t>等内容。</w:t>
            </w:r>
          </w:p>
        </w:tc>
        <w:tc>
          <w:tcPr>
            <w:tcW w:w="4750" w:type="dxa"/>
            <w:noWrap w:val="0"/>
            <w:vAlign w:val="top"/>
          </w:tcPr>
          <w:p w14:paraId="54656DED">
            <w:pPr>
              <w:pStyle w:val="7"/>
              <w:spacing w:line="280" w:lineRule="exact"/>
              <w:rPr>
                <w:rFonts w:ascii="Times New Roman" w:hAnsi="Times New Roman" w:eastAsia="仿宋_GB2312" w:cs="Times New Roman"/>
                <w:b/>
                <w:snapToGrid w:val="0"/>
                <w:sz w:val="24"/>
              </w:rPr>
            </w:pPr>
            <w:r>
              <w:rPr>
                <w:rFonts w:hint="default" w:ascii="Times New Roman" w:hAnsi="Times New Roman" w:eastAsia="仿宋_GB2312" w:cs="Times New Roman"/>
                <w:b/>
                <w:snapToGrid w:val="0"/>
                <w:sz w:val="24"/>
              </w:rPr>
              <w:t>《中华人民共和国广告法》</w:t>
            </w:r>
          </w:p>
          <w:p w14:paraId="67FFE1A6">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第十五条</w:t>
            </w:r>
            <w:r>
              <w:rPr>
                <w:rFonts w:hint="default" w:ascii="Times New Roman" w:hAnsi="Times New Roman" w:eastAsia="仿宋_GB2312" w:cs="Times New Roman"/>
                <w:b/>
                <w:snapToGrid w:val="0"/>
                <w:sz w:val="24"/>
              </w:rPr>
              <w:t xml:space="preserve"> </w:t>
            </w:r>
            <w:r>
              <w:rPr>
                <w:rFonts w:ascii="Times New Roman" w:hAnsi="Times New Roman" w:eastAsia="仿宋_GB2312" w:cs="Times New Roman"/>
                <w:snapToGrid w:val="0"/>
                <w:sz w:val="24"/>
              </w:rPr>
              <w:t>醉药品、精神药品、医疗用毒性药品、放射性药品等特殊药品，药品类易制毒化学品，以及戒毒治疗的药品、医疗器械和治疗方法，不得作广告。</w:t>
            </w:r>
          </w:p>
          <w:p w14:paraId="4947511B">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前款规定以外的处方药，只能在国务院卫生行政部门和国务院药品监督管理部门共同指定的医学、药学专业刊物上作广告。</w:t>
            </w:r>
          </w:p>
          <w:p w14:paraId="51250475">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z w:val="24"/>
              </w:rPr>
              <w:t>第五十七条</w:t>
            </w:r>
            <w:r>
              <w:rPr>
                <w:rFonts w:hint="default" w:ascii="Times New Roman" w:hAnsi="Times New Roman" w:eastAsia="仿宋_GB2312" w:cs="Times New Roman"/>
                <w:b/>
                <w:sz w:val="24"/>
              </w:rPr>
              <w:t>第（二）项</w:t>
            </w:r>
            <w:r>
              <w:rPr>
                <w:rFonts w:hint="default" w:ascii="Times New Roman" w:hAnsi="Times New Roman" w:eastAsia="仿宋_GB2312" w:cs="Times New Roman"/>
                <w:sz w:val="24"/>
              </w:rPr>
              <w:t xml:space="preserve"> </w:t>
            </w:r>
            <w:r>
              <w:rPr>
                <w:rFonts w:ascii="Times New Roman" w:hAnsi="Times New Roman" w:eastAsia="仿宋_GB2312" w:cs="Times New Roman"/>
                <w:sz w:val="24"/>
              </w:rPr>
              <w:t>有下列行为之一的，由市场监督管理部门责令停止发布广告，对广告主处二十万元以上一百万元以下的罚款，情节严重的，并可以吊销营业执照，由广告审查机关撤销广告审查批准文件、一年内不受理其广告审查申请；对广告经营者、广告发布者，由市场监督管理部门没收广告费用，处二十万元以上一百万元以下的罚款，情节严重的，并可以吊销营业执照：</w:t>
            </w:r>
          </w:p>
          <w:p w14:paraId="589C5374">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（二）违反本法第十五条规定发布处方药广告、药品类易制毒化学品广告、戒毒治疗的医疗器械和治疗方法广告的；</w:t>
            </w:r>
          </w:p>
        </w:tc>
        <w:tc>
          <w:tcPr>
            <w:tcW w:w="1196" w:type="dxa"/>
            <w:noWrap w:val="0"/>
            <w:vAlign w:val="center"/>
          </w:tcPr>
          <w:p w14:paraId="16995FF1">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9A0EE45">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广告中不得涉及</w:t>
            </w:r>
            <w:r>
              <w:rPr>
                <w:rFonts w:ascii="Times New Roman" w:hAnsi="Times New Roman" w:eastAsia="仿宋_GB2312" w:cs="Times New Roman"/>
                <w:snapToGrid w:val="0"/>
                <w:sz w:val="24"/>
              </w:rPr>
              <w:t>醉药品、精神药品、医疗用毒性药品、放射性药品等特殊药品，药品类易制毒化学品，以及戒毒治疗的药品、医疗器械和治疗方法</w:t>
            </w:r>
            <w:r>
              <w:rPr>
                <w:rFonts w:hint="default" w:ascii="Times New Roman" w:hAnsi="Times New Roman" w:eastAsia="仿宋_GB2312" w:cs="Times New Roman"/>
                <w:snapToGrid w:val="0"/>
                <w:sz w:val="24"/>
              </w:rPr>
              <w:t>等内容。</w:t>
            </w:r>
          </w:p>
        </w:tc>
        <w:tc>
          <w:tcPr>
            <w:tcW w:w="1309" w:type="dxa"/>
            <w:noWrap w:val="0"/>
            <w:vAlign w:val="center"/>
          </w:tcPr>
          <w:p w14:paraId="33992AE8">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022A8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8EA1CD4">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26</w:t>
            </w:r>
          </w:p>
        </w:tc>
        <w:tc>
          <w:tcPr>
            <w:tcW w:w="1706" w:type="dxa"/>
            <w:noWrap w:val="0"/>
            <w:vAlign w:val="center"/>
          </w:tcPr>
          <w:p w14:paraId="4ED2051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sz w:val="24"/>
                <w:szCs w:val="24"/>
                <w:lang w:eastAsia="zh-CN"/>
              </w:rPr>
            </w:pPr>
            <w:r>
              <w:rPr>
                <w:rFonts w:hint="default" w:ascii="Times New Roman" w:hAnsi="Times New Roman" w:eastAsia="仿宋_GB2312" w:cs="Times New Roman"/>
                <w:snapToGrid/>
                <w:sz w:val="24"/>
                <w:szCs w:val="24"/>
                <w:lang w:eastAsia="zh-CN"/>
              </w:rPr>
              <w:t>医疗、药品、医疗器械广告不得含有法律禁止性宣传用语</w:t>
            </w:r>
          </w:p>
        </w:tc>
        <w:tc>
          <w:tcPr>
            <w:tcW w:w="2187" w:type="dxa"/>
            <w:noWrap w:val="0"/>
            <w:vAlign w:val="center"/>
          </w:tcPr>
          <w:p w14:paraId="61F8A053">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一、</w:t>
            </w:r>
            <w:r>
              <w:rPr>
                <w:rFonts w:ascii="Times New Roman" w:hAnsi="Times New Roman" w:eastAsia="仿宋_GB2312" w:cs="Times New Roman"/>
                <w:snapToGrid w:val="0"/>
                <w:sz w:val="24"/>
              </w:rPr>
              <w:t>表示功效、安全性的断言或者保证；</w:t>
            </w:r>
          </w:p>
          <w:p w14:paraId="1765E163">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二、</w:t>
            </w:r>
            <w:r>
              <w:rPr>
                <w:rFonts w:ascii="Times New Roman" w:hAnsi="Times New Roman" w:eastAsia="仿宋_GB2312" w:cs="Times New Roman"/>
                <w:snapToGrid w:val="0"/>
                <w:sz w:val="24"/>
              </w:rPr>
              <w:t>说明治愈率或者有效率；</w:t>
            </w:r>
          </w:p>
          <w:p w14:paraId="733B3137">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三、</w:t>
            </w:r>
            <w:r>
              <w:rPr>
                <w:rFonts w:ascii="Times New Roman" w:hAnsi="Times New Roman" w:eastAsia="仿宋_GB2312" w:cs="Times New Roman"/>
                <w:sz w:val="24"/>
              </w:rPr>
              <w:t>与其他药品、医疗器械的功效和安全性或者其他医疗机构比较；</w:t>
            </w:r>
          </w:p>
          <w:p w14:paraId="38D26583">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四、</w:t>
            </w:r>
            <w:r>
              <w:rPr>
                <w:rFonts w:ascii="Times New Roman" w:hAnsi="Times New Roman" w:eastAsia="仿宋_GB2312" w:cs="Times New Roman"/>
                <w:sz w:val="24"/>
              </w:rPr>
              <w:t>利用广告代言人作推荐、证明</w:t>
            </w:r>
            <w:r>
              <w:rPr>
                <w:rFonts w:hint="default" w:ascii="Times New Roman" w:hAnsi="Times New Roman" w:eastAsia="仿宋_GB2312" w:cs="Times New Roman"/>
                <w:sz w:val="24"/>
              </w:rPr>
              <w:t>。</w:t>
            </w:r>
          </w:p>
        </w:tc>
        <w:tc>
          <w:tcPr>
            <w:tcW w:w="4750" w:type="dxa"/>
            <w:noWrap w:val="0"/>
            <w:vAlign w:val="top"/>
          </w:tcPr>
          <w:p w14:paraId="0E5BE0D1">
            <w:pPr>
              <w:pStyle w:val="7"/>
              <w:spacing w:line="280" w:lineRule="exact"/>
              <w:rPr>
                <w:rFonts w:ascii="Times New Roman" w:hAnsi="Times New Roman" w:eastAsia="仿宋_GB2312" w:cs="Times New Roman"/>
                <w:b/>
                <w:snapToGrid w:val="0"/>
                <w:sz w:val="24"/>
              </w:rPr>
            </w:pPr>
            <w:r>
              <w:rPr>
                <w:rFonts w:hint="default" w:ascii="Times New Roman" w:hAnsi="Times New Roman" w:eastAsia="仿宋_GB2312" w:cs="Times New Roman"/>
                <w:b/>
                <w:snapToGrid w:val="0"/>
                <w:sz w:val="24"/>
              </w:rPr>
              <w:t>《中华人民共和国广告法》</w:t>
            </w:r>
          </w:p>
          <w:p w14:paraId="1D2D206F">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第十六条</w:t>
            </w:r>
            <w:r>
              <w:rPr>
                <w:rFonts w:hint="default" w:ascii="Times New Roman" w:hAnsi="Times New Roman" w:eastAsia="仿宋_GB2312" w:cs="Times New Roman"/>
                <w:b/>
                <w:snapToGrid w:val="0"/>
                <w:sz w:val="24"/>
              </w:rPr>
              <w:t xml:space="preserve"> </w:t>
            </w:r>
            <w:r>
              <w:rPr>
                <w:rFonts w:ascii="Times New Roman" w:hAnsi="Times New Roman" w:eastAsia="仿宋_GB2312" w:cs="Times New Roman"/>
                <w:snapToGrid w:val="0"/>
                <w:sz w:val="24"/>
              </w:rPr>
              <w:t>医疗、药品、医疗器械广告不得含有下列内容：</w:t>
            </w:r>
          </w:p>
          <w:p w14:paraId="2789E033">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（一）表示功效、安全性的断言或者保证；</w:t>
            </w:r>
          </w:p>
          <w:p w14:paraId="3F3D5D03">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（二）说明治愈率或者有效率；</w:t>
            </w:r>
          </w:p>
          <w:p w14:paraId="14F309F3">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（三）与其他药品、医疗器械的功效和安全性或者其他医疗机构比较；</w:t>
            </w:r>
          </w:p>
          <w:p w14:paraId="4DD11E5F">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（四）利用广告代言人作推荐、证明；</w:t>
            </w:r>
          </w:p>
          <w:p w14:paraId="2DA433D3">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（五）法律、行政法规规定禁止的其他内容。</w:t>
            </w:r>
          </w:p>
          <w:p w14:paraId="38B28884">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z w:val="24"/>
              </w:rPr>
              <w:t>第五十八条</w:t>
            </w:r>
            <w:r>
              <w:rPr>
                <w:rFonts w:hint="default" w:ascii="Times New Roman" w:hAnsi="Times New Roman" w:eastAsia="仿宋_GB2312" w:cs="Times New Roman"/>
                <w:b/>
                <w:sz w:val="24"/>
              </w:rPr>
              <w:t xml:space="preserve">第一款第（一）项 </w:t>
            </w:r>
            <w:r>
              <w:rPr>
                <w:rFonts w:ascii="Times New Roman" w:hAnsi="Times New Roman" w:eastAsia="仿宋_GB2312" w:cs="Times New Roman"/>
                <w:sz w:val="24"/>
              </w:rPr>
              <w:t>有下列行为之一的，由市场监督管理部门责令停止发布广告，责令广告主在相应范围内消除影响，处广告费用一倍以上三倍以下的罚款，广告费用无法计算或者明显偏低的，处十万元以上二十万元以下的罚款；情节严重的，处广告费用三倍以上五倍以下的罚款，广告费用无法计算或者明显偏低的，处二十万元以上一百万元以下的罚款，可以吊销营业执照，并由广告审查机关撤销广告审查批准文件、一年内不受理其广告审查申请：</w:t>
            </w:r>
          </w:p>
          <w:p w14:paraId="17177A52">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（一）违反本法第十六条规定发布医疗、药品、医疗器械广告的；</w:t>
            </w:r>
          </w:p>
        </w:tc>
        <w:tc>
          <w:tcPr>
            <w:tcW w:w="1196" w:type="dxa"/>
            <w:noWrap w:val="0"/>
            <w:vAlign w:val="center"/>
          </w:tcPr>
          <w:p w14:paraId="1701698D">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1DDBF49">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医疗、药品、医疗器械广告</w:t>
            </w:r>
            <w:r>
              <w:rPr>
                <w:rFonts w:hint="default" w:ascii="Times New Roman" w:hAnsi="Times New Roman" w:eastAsia="仿宋_GB2312" w:cs="Times New Roman"/>
                <w:snapToGrid w:val="0"/>
                <w:sz w:val="24"/>
              </w:rPr>
              <w:t>内容应与审查成品样件保持一致，不得含有法律禁止性宣传用语；</w:t>
            </w:r>
            <w:r>
              <w:rPr>
                <w:rFonts w:ascii="Times New Roman" w:hAnsi="Times New Roman" w:eastAsia="仿宋_GB2312" w:cs="Times New Roman"/>
                <w:snapToGrid w:val="0"/>
                <w:sz w:val="24"/>
              </w:rPr>
              <w:t>非处方药广告应当显著标明“请按药品说明书或者在药师指导下购买和使用”</w:t>
            </w:r>
            <w:r>
              <w:rPr>
                <w:rFonts w:hint="default" w:ascii="Times New Roman" w:hAnsi="Times New Roman" w:eastAsia="仿宋_GB2312" w:cs="Times New Roman"/>
                <w:snapToGrid w:val="0"/>
                <w:sz w:val="24"/>
              </w:rPr>
              <w:t>；医疗、药品、医疗器械广告内容不得出现公众人物或医生、患者、专家等名义和形象作推荐证明。</w:t>
            </w:r>
          </w:p>
        </w:tc>
        <w:tc>
          <w:tcPr>
            <w:tcW w:w="1309" w:type="dxa"/>
            <w:noWrap w:val="0"/>
            <w:vAlign w:val="center"/>
          </w:tcPr>
          <w:p w14:paraId="05648B99">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1DD32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A95340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27</w:t>
            </w:r>
          </w:p>
        </w:tc>
        <w:tc>
          <w:tcPr>
            <w:tcW w:w="1706" w:type="dxa"/>
            <w:noWrap w:val="0"/>
            <w:vAlign w:val="center"/>
          </w:tcPr>
          <w:p w14:paraId="066F9E85">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禁止在非医疗、药品、医疗器械广告中涉及疾病治疗功能和使用医疗用语</w:t>
            </w:r>
          </w:p>
        </w:tc>
        <w:tc>
          <w:tcPr>
            <w:tcW w:w="2187" w:type="dxa"/>
            <w:noWrap w:val="0"/>
            <w:vAlign w:val="center"/>
          </w:tcPr>
          <w:p w14:paraId="13E533A3">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一、普通食品、保健食品、保健用品、消毒产品、化妆品、美容美体服务等非医疗、药品、医疗器械广告涉及疾病治疗功能；</w:t>
            </w:r>
          </w:p>
          <w:p w14:paraId="5283F664">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二、普通食品、保健用品、消毒产品、化妆品、美容美体服务等非医疗、药品、医疗器械广告使用医疗用语或者与药品相混淆的用语。</w:t>
            </w:r>
          </w:p>
        </w:tc>
        <w:tc>
          <w:tcPr>
            <w:tcW w:w="4750" w:type="dxa"/>
            <w:noWrap w:val="0"/>
            <w:vAlign w:val="top"/>
          </w:tcPr>
          <w:p w14:paraId="2A60F43D">
            <w:pPr>
              <w:pStyle w:val="7"/>
              <w:spacing w:line="280" w:lineRule="exact"/>
              <w:rPr>
                <w:rFonts w:ascii="Times New Roman" w:hAnsi="Times New Roman" w:eastAsia="仿宋_GB2312" w:cs="Times New Roman"/>
                <w:sz w:val="24"/>
              </w:rPr>
            </w:pPr>
            <w:r>
              <w:rPr>
                <w:rFonts w:hint="default" w:ascii="Times New Roman" w:hAnsi="Times New Roman" w:eastAsia="仿宋_GB2312" w:cs="Times New Roman"/>
                <w:b/>
                <w:snapToGrid w:val="0"/>
                <w:sz w:val="24"/>
              </w:rPr>
              <w:t>《中华人民共和国广告法》</w:t>
            </w:r>
          </w:p>
          <w:p w14:paraId="48F912BC">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z w:val="24"/>
              </w:rPr>
              <w:t>第十七条</w:t>
            </w:r>
            <w:r>
              <w:rPr>
                <w:rFonts w:hint="default" w:ascii="Times New Roman" w:hAnsi="Times New Roman" w:eastAsia="仿宋_GB2312" w:cs="Times New Roman"/>
                <w:b/>
                <w:sz w:val="24"/>
              </w:rPr>
              <w:t xml:space="preserve"> </w:t>
            </w:r>
            <w:r>
              <w:rPr>
                <w:rFonts w:ascii="Times New Roman" w:hAnsi="Times New Roman" w:eastAsia="仿宋_GB2312" w:cs="Times New Roman"/>
                <w:sz w:val="24"/>
              </w:rPr>
              <w:t>除医疗、药品、医疗器械广告外，禁止其他任何广告涉及疾病治疗功能，并不得使用医疗用语或者易使推销的商品与药品、医疗器械相混淆的用语。</w:t>
            </w:r>
          </w:p>
          <w:p w14:paraId="3CA5353A">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napToGrid w:val="0"/>
                <w:sz w:val="24"/>
              </w:rPr>
              <w:t>第五十八条</w:t>
            </w:r>
            <w:r>
              <w:rPr>
                <w:rFonts w:hint="default" w:ascii="Times New Roman" w:hAnsi="Times New Roman" w:eastAsia="仿宋_GB2312" w:cs="Times New Roman"/>
                <w:b/>
                <w:snapToGrid w:val="0"/>
                <w:sz w:val="24"/>
              </w:rPr>
              <w:t xml:space="preserve">第一款第（二）项 </w:t>
            </w:r>
            <w:r>
              <w:rPr>
                <w:rFonts w:ascii="Times New Roman" w:hAnsi="Times New Roman" w:eastAsia="仿宋_GB2312" w:cs="Times New Roman"/>
                <w:snapToGrid w:val="0"/>
                <w:sz w:val="24"/>
              </w:rPr>
              <w:t>有下列行为之一的，由市场监督管理部门责令停止发布广告，责令广告主在相应范围内消除影响，处广告费用一倍以上三倍以下的罚款，广告费用无法计算或者明显偏低的，处十万元以上二十万元以下的罚款；情节严重的，处广告费用三倍以上五倍以下的罚款，广</w:t>
            </w:r>
            <w:r>
              <w:rPr>
                <w:rFonts w:ascii="Times New Roman" w:hAnsi="Times New Roman" w:eastAsia="仿宋_GB2312" w:cs="Times New Roman"/>
                <w:sz w:val="24"/>
              </w:rPr>
              <w:t>告费用无法计算或者明显偏低的，处二十万元以上一百万元以下的罚款，可以吊销营业执照，并由广告审查机关撤销广告审查批准文件、一年内不受理其广告审查申请：</w:t>
            </w:r>
          </w:p>
          <w:p w14:paraId="161C49C2">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（二）违反本法第十七条规定，在广告中涉及疾病治疗功能，以及使用医疗用语或者易使推销的商品与药品、医疗器械相混淆的用语的；</w:t>
            </w:r>
          </w:p>
        </w:tc>
        <w:tc>
          <w:tcPr>
            <w:tcW w:w="1196" w:type="dxa"/>
            <w:noWrap w:val="0"/>
            <w:vAlign w:val="center"/>
          </w:tcPr>
          <w:p w14:paraId="209969E2">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31A9E60A">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除医疗、药品、医疗器械广告外，其他任何广告不得涉及疾病治疗功能，并不得使用医疗用语或者与药品、医疗器械相混淆的用语。</w:t>
            </w:r>
          </w:p>
        </w:tc>
        <w:tc>
          <w:tcPr>
            <w:tcW w:w="1309" w:type="dxa"/>
            <w:noWrap w:val="0"/>
            <w:vAlign w:val="center"/>
          </w:tcPr>
          <w:p w14:paraId="20E9C413">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4F3A2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AD48177">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28</w:t>
            </w:r>
          </w:p>
        </w:tc>
        <w:tc>
          <w:tcPr>
            <w:tcW w:w="1706" w:type="dxa"/>
            <w:noWrap w:val="0"/>
            <w:vAlign w:val="center"/>
          </w:tcPr>
          <w:p w14:paraId="53AE571D">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保健食品广告不得含有法律禁止性宣传内容</w:t>
            </w:r>
          </w:p>
        </w:tc>
        <w:tc>
          <w:tcPr>
            <w:tcW w:w="2187" w:type="dxa"/>
            <w:noWrap w:val="0"/>
            <w:vAlign w:val="center"/>
          </w:tcPr>
          <w:p w14:paraId="32BCA25E">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一、表示功效、安全性的断言或者保证；</w:t>
            </w:r>
          </w:p>
          <w:p w14:paraId="4D1FA85D">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二、涉及疾病预防治疗功能；</w:t>
            </w:r>
          </w:p>
          <w:p w14:paraId="39ACF3FF">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三、声称或暗示广告商品为保障健康所必须；</w:t>
            </w:r>
          </w:p>
          <w:p w14:paraId="018B8EB0">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四、与其他保健食品相比较；</w:t>
            </w:r>
          </w:p>
          <w:p w14:paraId="7E94FF34">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五、利用广告代言人作推荐证明。</w:t>
            </w:r>
          </w:p>
        </w:tc>
        <w:tc>
          <w:tcPr>
            <w:tcW w:w="4750" w:type="dxa"/>
            <w:noWrap w:val="0"/>
            <w:vAlign w:val="top"/>
          </w:tcPr>
          <w:p w14:paraId="15D9F255">
            <w:pPr>
              <w:pStyle w:val="7"/>
              <w:spacing w:line="280" w:lineRule="exact"/>
              <w:rPr>
                <w:rFonts w:ascii="Times New Roman" w:hAnsi="Times New Roman" w:eastAsia="仿宋_GB2312" w:cs="Times New Roman"/>
                <w:sz w:val="24"/>
              </w:rPr>
            </w:pPr>
            <w:r>
              <w:rPr>
                <w:rFonts w:hint="default" w:ascii="Times New Roman" w:hAnsi="Times New Roman" w:eastAsia="仿宋_GB2312" w:cs="Times New Roman"/>
                <w:b/>
                <w:snapToGrid w:val="0"/>
                <w:sz w:val="24"/>
              </w:rPr>
              <w:t>《中华人民共和国广告法》</w:t>
            </w:r>
          </w:p>
          <w:p w14:paraId="64D664D9">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z w:val="24"/>
              </w:rPr>
              <w:t>第十八条</w:t>
            </w:r>
            <w:r>
              <w:rPr>
                <w:rFonts w:hint="default" w:ascii="Times New Roman" w:hAnsi="Times New Roman" w:eastAsia="仿宋_GB2312" w:cs="Times New Roman"/>
                <w:b/>
                <w:sz w:val="24"/>
              </w:rPr>
              <w:t xml:space="preserve"> </w:t>
            </w:r>
            <w:r>
              <w:rPr>
                <w:rFonts w:ascii="Times New Roman" w:hAnsi="Times New Roman" w:eastAsia="仿宋_GB2312" w:cs="Times New Roman"/>
                <w:sz w:val="24"/>
              </w:rPr>
              <w:t>保健食品广告不得含有下列内容：</w:t>
            </w:r>
          </w:p>
          <w:p w14:paraId="0583451D">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（一）表示功效、安全性的断言或者保证；</w:t>
            </w:r>
          </w:p>
          <w:p w14:paraId="1C24040E">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（二）涉及疾病预防、治疗功能；</w:t>
            </w:r>
          </w:p>
          <w:p w14:paraId="64B3CB1B">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（三）声称或者暗示广告商品为保障健康所必需；</w:t>
            </w:r>
          </w:p>
          <w:p w14:paraId="511EC27A">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（四）与药品、其他保健食品进行比较；</w:t>
            </w:r>
          </w:p>
          <w:p w14:paraId="06BC6C18">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（五）利用广告代言人作推荐、证明；</w:t>
            </w:r>
          </w:p>
          <w:p w14:paraId="752FFA3A">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（六）法律、行政法规规定禁止的其他内容。</w:t>
            </w:r>
          </w:p>
          <w:p w14:paraId="1CCF5ED9">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保健食品广告应当显著标明“本品不能代替药物”。</w:t>
            </w:r>
          </w:p>
          <w:p w14:paraId="53C6832A">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napToGrid w:val="0"/>
                <w:sz w:val="24"/>
              </w:rPr>
              <w:t>第五十八条</w:t>
            </w:r>
            <w:r>
              <w:rPr>
                <w:rFonts w:hint="default" w:ascii="Times New Roman" w:hAnsi="Times New Roman" w:eastAsia="仿宋_GB2312" w:cs="Times New Roman"/>
                <w:b/>
                <w:snapToGrid w:val="0"/>
                <w:sz w:val="24"/>
              </w:rPr>
              <w:t>第一款第（三）项</w:t>
            </w:r>
            <w:r>
              <w:rPr>
                <w:rFonts w:hint="default" w:ascii="Times New Roman" w:hAnsi="Times New Roman" w:eastAsia="仿宋_GB2312" w:cs="Times New Roman"/>
                <w:snapToGrid w:val="0"/>
                <w:sz w:val="24"/>
              </w:rPr>
              <w:t xml:space="preserve"> </w:t>
            </w:r>
            <w:r>
              <w:rPr>
                <w:rFonts w:ascii="Times New Roman" w:hAnsi="Times New Roman" w:eastAsia="仿宋_GB2312" w:cs="Times New Roman"/>
                <w:snapToGrid w:val="0"/>
                <w:sz w:val="24"/>
              </w:rPr>
              <w:t>有下列行为之一的，由市场监督管理部门责令停止发布广告，责令广告主在相应范围内消除影响，处广告费用一倍以上三倍以下的罚款，广告费用无法计算或者明显偏低的，处十万元以上二十万元以下的罚款；情节严重的，处广告费用三倍以上五倍以下的罚款，广告费用</w:t>
            </w:r>
            <w:r>
              <w:rPr>
                <w:rFonts w:ascii="Times New Roman" w:hAnsi="Times New Roman" w:eastAsia="仿宋_GB2312" w:cs="Times New Roman"/>
                <w:sz w:val="24"/>
              </w:rPr>
              <w:t>无法计算或者明显偏低的，处二十万元以上一百万元以下的罚款，可以吊销营业执照，并由广告审查机关撤销广告审查批准文件、一年内不受理其广告审查申请：</w:t>
            </w:r>
          </w:p>
          <w:p w14:paraId="316CE749">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（三）违反本法第十八条规定发布保健食品广告的；</w:t>
            </w:r>
          </w:p>
        </w:tc>
        <w:tc>
          <w:tcPr>
            <w:tcW w:w="1196" w:type="dxa"/>
            <w:noWrap w:val="0"/>
            <w:vAlign w:val="center"/>
          </w:tcPr>
          <w:p w14:paraId="2EB8E6F0">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C8F5B82">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未经审查不得发布保健食品广告；不得含有法律禁止性宣传内容；应当显著标明“保健食品不是药物，不能代替药物治疗疾病”，声明本品不能代替药物，并显著标明保健食品标志、适宜人群和不适宜人群。</w:t>
            </w:r>
          </w:p>
        </w:tc>
        <w:tc>
          <w:tcPr>
            <w:tcW w:w="1309" w:type="dxa"/>
            <w:noWrap w:val="0"/>
            <w:vAlign w:val="center"/>
          </w:tcPr>
          <w:p w14:paraId="520F688B">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12E7B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76EB59C">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29</w:t>
            </w:r>
          </w:p>
        </w:tc>
        <w:tc>
          <w:tcPr>
            <w:tcW w:w="1706" w:type="dxa"/>
            <w:noWrap w:val="0"/>
            <w:vAlign w:val="center"/>
          </w:tcPr>
          <w:p w14:paraId="731EADA9">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酒类广告不得含有法律禁止性宣传内容</w:t>
            </w:r>
          </w:p>
        </w:tc>
        <w:tc>
          <w:tcPr>
            <w:tcW w:w="2187" w:type="dxa"/>
            <w:noWrap w:val="0"/>
            <w:vAlign w:val="center"/>
          </w:tcPr>
          <w:p w14:paraId="36AF0F27">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一、</w:t>
            </w:r>
            <w:r>
              <w:rPr>
                <w:rFonts w:ascii="Times New Roman" w:hAnsi="Times New Roman" w:eastAsia="仿宋_GB2312" w:cs="Times New Roman"/>
                <w:sz w:val="24"/>
              </w:rPr>
              <w:t>诱导、怂恿饮酒或者宣传无节制饮酒；</w:t>
            </w:r>
          </w:p>
          <w:p w14:paraId="0AE7751E">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二、</w:t>
            </w:r>
            <w:r>
              <w:rPr>
                <w:rFonts w:ascii="Times New Roman" w:hAnsi="Times New Roman" w:eastAsia="仿宋_GB2312" w:cs="Times New Roman"/>
                <w:sz w:val="24"/>
              </w:rPr>
              <w:t>出现饮酒的动作；</w:t>
            </w:r>
          </w:p>
          <w:p w14:paraId="157701A2">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三、</w:t>
            </w:r>
            <w:r>
              <w:rPr>
                <w:rFonts w:ascii="Times New Roman" w:hAnsi="Times New Roman" w:eastAsia="仿宋_GB2312" w:cs="Times New Roman"/>
                <w:sz w:val="24"/>
              </w:rPr>
              <w:t>表现驾驶车、船、飞机等活动；</w:t>
            </w:r>
          </w:p>
          <w:p w14:paraId="3DF48054">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四、</w:t>
            </w:r>
            <w:r>
              <w:rPr>
                <w:rFonts w:ascii="Times New Roman" w:hAnsi="Times New Roman" w:eastAsia="仿宋_GB2312" w:cs="Times New Roman"/>
                <w:sz w:val="24"/>
              </w:rPr>
              <w:t>明示或者暗示饮酒有消除紧张和焦虑、增加体力等功效。</w:t>
            </w:r>
          </w:p>
          <w:p w14:paraId="520BFA0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p>
        </w:tc>
        <w:tc>
          <w:tcPr>
            <w:tcW w:w="4750" w:type="dxa"/>
            <w:noWrap w:val="0"/>
            <w:vAlign w:val="top"/>
          </w:tcPr>
          <w:p w14:paraId="6D80757E">
            <w:pPr>
              <w:pStyle w:val="7"/>
              <w:spacing w:line="280" w:lineRule="exact"/>
              <w:rPr>
                <w:rFonts w:ascii="Times New Roman" w:hAnsi="Times New Roman" w:eastAsia="仿宋_GB2312" w:cs="Times New Roman"/>
                <w:sz w:val="24"/>
              </w:rPr>
            </w:pPr>
            <w:r>
              <w:rPr>
                <w:rFonts w:hint="default" w:ascii="Times New Roman" w:hAnsi="Times New Roman" w:eastAsia="仿宋_GB2312" w:cs="Times New Roman"/>
                <w:b/>
                <w:snapToGrid w:val="0"/>
                <w:sz w:val="24"/>
              </w:rPr>
              <w:t>《中华人民共和国广告法》</w:t>
            </w:r>
          </w:p>
          <w:p w14:paraId="436CA61B">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z w:val="24"/>
              </w:rPr>
              <w:t>第二十三条</w:t>
            </w:r>
            <w:r>
              <w:rPr>
                <w:rFonts w:hint="default" w:ascii="Times New Roman" w:hAnsi="Times New Roman" w:eastAsia="仿宋_GB2312" w:cs="Times New Roman"/>
                <w:b/>
                <w:sz w:val="24"/>
              </w:rPr>
              <w:t xml:space="preserve"> </w:t>
            </w:r>
            <w:r>
              <w:rPr>
                <w:rFonts w:ascii="Times New Roman" w:hAnsi="Times New Roman" w:eastAsia="仿宋_GB2312" w:cs="Times New Roman"/>
                <w:sz w:val="24"/>
              </w:rPr>
              <w:t>酒类广告不得含有下列内容：</w:t>
            </w:r>
          </w:p>
          <w:p w14:paraId="0CAA1614">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（一）诱导、怂恿饮酒或者宣传无节制饮酒；</w:t>
            </w:r>
          </w:p>
          <w:p w14:paraId="5CBE6298">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（二）出现饮酒的动作；</w:t>
            </w:r>
          </w:p>
          <w:p w14:paraId="719D060C">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（三）表现驾驶车、船、飞机等活动；</w:t>
            </w:r>
          </w:p>
          <w:p w14:paraId="6F705886">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（四）明示或者暗示饮酒有消除紧张和焦虑、增加体力等功效。</w:t>
            </w:r>
          </w:p>
          <w:p w14:paraId="3E4E5679">
            <w:pPr>
              <w:pStyle w:val="7"/>
              <w:spacing w:line="280" w:lineRule="exact"/>
              <w:ind w:firstLine="482" w:firstLineChars="200"/>
              <w:rPr>
                <w:rFonts w:ascii="Times New Roman" w:hAnsi="Times New Roman" w:eastAsia="仿宋_GB2312" w:cs="Times New Roman"/>
                <w:sz w:val="24"/>
              </w:rPr>
            </w:pPr>
            <w:r>
              <w:rPr>
                <w:rFonts w:ascii="Times New Roman" w:hAnsi="Times New Roman" w:eastAsia="仿宋_GB2312" w:cs="Times New Roman"/>
                <w:b/>
                <w:snapToGrid w:val="0"/>
                <w:sz w:val="24"/>
              </w:rPr>
              <w:t>第五十八条</w:t>
            </w:r>
            <w:r>
              <w:rPr>
                <w:rFonts w:hint="default" w:ascii="Times New Roman" w:hAnsi="Times New Roman" w:eastAsia="仿宋_GB2312" w:cs="Times New Roman"/>
                <w:b/>
                <w:snapToGrid w:val="0"/>
                <w:sz w:val="24"/>
              </w:rPr>
              <w:t>第一款第（</w:t>
            </w:r>
            <w:r>
              <w:rPr>
                <w:rFonts w:hint="default" w:ascii="Times New Roman" w:hAnsi="Times New Roman" w:eastAsia="仿宋_GB2312" w:cs="Times New Roman"/>
                <w:b/>
                <w:sz w:val="24"/>
              </w:rPr>
              <w:t>五</w:t>
            </w:r>
            <w:r>
              <w:rPr>
                <w:rFonts w:hint="default" w:ascii="Times New Roman" w:hAnsi="Times New Roman" w:eastAsia="仿宋_GB2312" w:cs="Times New Roman"/>
                <w:b/>
                <w:snapToGrid w:val="0"/>
                <w:sz w:val="24"/>
              </w:rPr>
              <w:t>）项</w:t>
            </w:r>
            <w:r>
              <w:rPr>
                <w:rFonts w:hint="default" w:ascii="Times New Roman" w:hAnsi="Times New Roman" w:eastAsia="仿宋_GB2312" w:cs="Times New Roman"/>
                <w:b/>
                <w:sz w:val="24"/>
              </w:rPr>
              <w:t xml:space="preserve"> </w:t>
            </w:r>
            <w:r>
              <w:rPr>
                <w:rFonts w:ascii="Times New Roman" w:hAnsi="Times New Roman" w:eastAsia="仿宋_GB2312" w:cs="Times New Roman"/>
                <w:snapToGrid w:val="0"/>
                <w:sz w:val="24"/>
              </w:rPr>
              <w:t>有下列行为之一的，由市场监督管理部门责令停止发布广告，责令广告主在相应范围内消除影响，处广告费用一倍以上三倍以下的罚款，广告费用无法计算或者明显偏低的，处十万元以上二十万元以下的罚款；情节严重的，处广告费用三倍以上五倍以下的罚款，广告费用无法计算或者明显偏低的，处二十万元以上一百万元以下的罚款，可以吊销营业执照，并由广告审查机关撤销广告审查批准文件、一年内不受理其广告审查申请：</w:t>
            </w:r>
          </w:p>
          <w:p w14:paraId="4E3A0E99">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napToGrid w:val="0"/>
                <w:sz w:val="24"/>
              </w:rPr>
              <w:t>（五）违反本法第二十三条规定发布酒类广告的；</w:t>
            </w:r>
          </w:p>
        </w:tc>
        <w:tc>
          <w:tcPr>
            <w:tcW w:w="1196" w:type="dxa"/>
            <w:noWrap w:val="0"/>
            <w:vAlign w:val="center"/>
          </w:tcPr>
          <w:p w14:paraId="653CA05A">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3EC430C">
            <w:pPr>
              <w:pStyle w:val="7"/>
              <w:spacing w:line="280" w:lineRule="exact"/>
              <w:ind w:firstLine="480" w:firstLineChars="200"/>
              <w:rPr>
                <w:rFonts w:ascii="Times New Roman" w:hAnsi="Times New Roman" w:eastAsia="仿宋_GB2312" w:cs="Times New Roman"/>
                <w:sz w:val="24"/>
              </w:rPr>
            </w:pPr>
            <w:r>
              <w:rPr>
                <w:rFonts w:hint="default" w:ascii="Times New Roman" w:hAnsi="Times New Roman" w:eastAsia="仿宋_GB2312" w:cs="Times New Roman"/>
                <w:sz w:val="24"/>
              </w:rPr>
              <w:t>广告中</w:t>
            </w:r>
            <w:r>
              <w:rPr>
                <w:rFonts w:ascii="Times New Roman" w:hAnsi="Times New Roman" w:eastAsia="仿宋_GB2312" w:cs="Times New Roman"/>
                <w:sz w:val="24"/>
              </w:rPr>
              <w:t>不得含有下列内容：</w:t>
            </w:r>
          </w:p>
          <w:p w14:paraId="52E05147">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（一）诱导、怂恿饮酒或者宣传无节制饮酒；</w:t>
            </w:r>
          </w:p>
          <w:p w14:paraId="528830DC">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（二）出现饮酒的动作；</w:t>
            </w:r>
          </w:p>
          <w:p w14:paraId="6F58D867">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（三）表现驾驶车、船、飞机等活动；</w:t>
            </w:r>
          </w:p>
          <w:p w14:paraId="15DF3FD2">
            <w:pPr>
              <w:pStyle w:val="7"/>
              <w:spacing w:line="280" w:lineRule="exact"/>
              <w:ind w:firstLine="480" w:firstLineChars="200"/>
              <w:rPr>
                <w:rFonts w:ascii="Times New Roman" w:hAnsi="Times New Roman" w:eastAsia="仿宋_GB2312" w:cs="Times New Roman"/>
                <w:sz w:val="24"/>
              </w:rPr>
            </w:pPr>
            <w:r>
              <w:rPr>
                <w:rFonts w:ascii="Times New Roman" w:hAnsi="Times New Roman" w:eastAsia="仿宋_GB2312" w:cs="Times New Roman"/>
                <w:sz w:val="24"/>
              </w:rPr>
              <w:t>（四）明示或者暗示饮酒有消除紧张和焦虑、增加体力等功效。</w:t>
            </w:r>
          </w:p>
          <w:p w14:paraId="07D89C59">
            <w:pPr>
              <w:pStyle w:val="6"/>
              <w:widowControl w:val="0"/>
              <w:kinsoku/>
              <w:overflowPunct w:val="0"/>
              <w:topLinePunct/>
              <w:autoSpaceDE/>
              <w:autoSpaceDN/>
              <w:spacing w:line="280" w:lineRule="exact"/>
              <w:ind w:firstLine="480" w:firstLineChars="200"/>
              <w:jc w:val="center"/>
              <w:rPr>
                <w:rFonts w:ascii="Times New Roman" w:hAnsi="Times New Roman" w:eastAsia="仿宋_GB2312" w:cs="Times New Roman"/>
                <w:snapToGrid/>
                <w:color w:val="auto"/>
                <w:kern w:val="2"/>
                <w:sz w:val="24"/>
                <w:szCs w:val="24"/>
                <w:lang w:eastAsia="zh-CN"/>
              </w:rPr>
            </w:pPr>
          </w:p>
        </w:tc>
        <w:tc>
          <w:tcPr>
            <w:tcW w:w="1309" w:type="dxa"/>
            <w:noWrap w:val="0"/>
            <w:vAlign w:val="center"/>
          </w:tcPr>
          <w:p w14:paraId="619BCAA7">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58852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25A5A63">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30</w:t>
            </w:r>
          </w:p>
        </w:tc>
        <w:tc>
          <w:tcPr>
            <w:tcW w:w="1706" w:type="dxa"/>
            <w:noWrap w:val="0"/>
            <w:vAlign w:val="center"/>
          </w:tcPr>
          <w:p w14:paraId="07849CB2">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教育、培训广告不得含有禁止性内容</w:t>
            </w:r>
          </w:p>
        </w:tc>
        <w:tc>
          <w:tcPr>
            <w:tcW w:w="2187" w:type="dxa"/>
            <w:noWrap w:val="0"/>
            <w:vAlign w:val="center"/>
          </w:tcPr>
          <w:p w14:paraId="0FC6F17C">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一、</w:t>
            </w:r>
            <w:r>
              <w:rPr>
                <w:rFonts w:ascii="Times New Roman" w:hAnsi="Times New Roman" w:eastAsia="仿宋_GB2312" w:cs="Times New Roman"/>
                <w:snapToGrid w:val="0"/>
                <w:sz w:val="24"/>
              </w:rPr>
              <w:t>对升学、通过考试、获得学位学历或者合格证书，或者对教育、培训的效果作出明示或者暗示的保证性承诺；</w:t>
            </w:r>
          </w:p>
          <w:p w14:paraId="685BE440">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二、</w:t>
            </w:r>
            <w:r>
              <w:rPr>
                <w:rFonts w:ascii="Times New Roman" w:hAnsi="Times New Roman" w:eastAsia="仿宋_GB2312" w:cs="Times New Roman"/>
                <w:snapToGrid w:val="0"/>
                <w:sz w:val="24"/>
              </w:rPr>
              <w:t>明示或者暗示有相关考试机构或者其工作人员、考试命题人员参与教育、培训；</w:t>
            </w:r>
          </w:p>
          <w:p w14:paraId="403264E5">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sz w:val="24"/>
                <w:szCs w:val="24"/>
                <w:lang w:eastAsia="zh-CN"/>
              </w:rPr>
              <w:t>三、</w:t>
            </w:r>
            <w:r>
              <w:rPr>
                <w:rFonts w:ascii="Times New Roman" w:hAnsi="Times New Roman" w:eastAsia="仿宋_GB2312" w:cs="Times New Roman"/>
                <w:snapToGrid/>
                <w:sz w:val="24"/>
                <w:szCs w:val="24"/>
                <w:lang w:eastAsia="zh-CN"/>
              </w:rPr>
              <w:t>利用科研单位、学术机构、教育机构、行业协会、专业人士、受益者的名义或者形象作推荐、证明。</w:t>
            </w:r>
          </w:p>
        </w:tc>
        <w:tc>
          <w:tcPr>
            <w:tcW w:w="4750" w:type="dxa"/>
            <w:noWrap w:val="0"/>
            <w:vAlign w:val="top"/>
          </w:tcPr>
          <w:p w14:paraId="05C4D248">
            <w:pPr>
              <w:pStyle w:val="7"/>
              <w:spacing w:line="280" w:lineRule="exact"/>
              <w:rPr>
                <w:rFonts w:ascii="Times New Roman" w:hAnsi="Times New Roman" w:eastAsia="仿宋_GB2312" w:cs="Times New Roman"/>
                <w:sz w:val="24"/>
              </w:rPr>
            </w:pPr>
            <w:r>
              <w:rPr>
                <w:rFonts w:hint="default" w:ascii="Times New Roman" w:hAnsi="Times New Roman" w:eastAsia="仿宋_GB2312" w:cs="Times New Roman"/>
                <w:b/>
                <w:snapToGrid w:val="0"/>
                <w:sz w:val="24"/>
              </w:rPr>
              <w:t>《中华人民共和国广告法》</w:t>
            </w:r>
          </w:p>
          <w:p w14:paraId="12ECA576">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第二十四条</w:t>
            </w:r>
            <w:r>
              <w:rPr>
                <w:rFonts w:hint="default" w:ascii="Times New Roman" w:hAnsi="Times New Roman" w:eastAsia="仿宋_GB2312" w:cs="Times New Roman"/>
                <w:b/>
                <w:snapToGrid w:val="0"/>
                <w:sz w:val="24"/>
              </w:rPr>
              <w:t xml:space="preserve"> </w:t>
            </w:r>
            <w:r>
              <w:rPr>
                <w:rFonts w:ascii="Times New Roman" w:hAnsi="Times New Roman" w:eastAsia="仿宋_GB2312" w:cs="Times New Roman"/>
                <w:snapToGrid w:val="0"/>
                <w:sz w:val="24"/>
              </w:rPr>
              <w:t>教育、培训广告不得含有下列内容：</w:t>
            </w:r>
          </w:p>
          <w:p w14:paraId="50BEA3C7">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（一）对升学、通过考试、获得学位学历或者合格证书，或者对教育、培训的效果作出明示或者暗示的保证性承诺；</w:t>
            </w:r>
          </w:p>
          <w:p w14:paraId="5AE78CED">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（二）明示或者暗示有相关考试机构或者其工作人员、考试命题人员参与教育、培训；</w:t>
            </w:r>
          </w:p>
          <w:p w14:paraId="6D8D1B1F">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（三）利用科研单位、学术机构、教育机构、行业协会、专业人士、受益者的名义或者形象作推荐、证明。</w:t>
            </w:r>
          </w:p>
          <w:p w14:paraId="55B43030">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第五十八条</w:t>
            </w:r>
            <w:r>
              <w:rPr>
                <w:rFonts w:hint="default" w:ascii="Times New Roman" w:hAnsi="Times New Roman" w:eastAsia="仿宋_GB2312" w:cs="Times New Roman"/>
                <w:b/>
                <w:snapToGrid w:val="0"/>
                <w:sz w:val="24"/>
              </w:rPr>
              <w:t>第一款第（</w:t>
            </w:r>
            <w:r>
              <w:rPr>
                <w:rFonts w:hint="default" w:ascii="Times New Roman" w:hAnsi="Times New Roman" w:eastAsia="仿宋_GB2312" w:cs="Times New Roman"/>
                <w:b/>
                <w:sz w:val="24"/>
              </w:rPr>
              <w:t>六</w:t>
            </w:r>
            <w:r>
              <w:rPr>
                <w:rFonts w:hint="default" w:ascii="Times New Roman" w:hAnsi="Times New Roman" w:eastAsia="仿宋_GB2312" w:cs="Times New Roman"/>
                <w:b/>
                <w:snapToGrid w:val="0"/>
                <w:sz w:val="24"/>
              </w:rPr>
              <w:t xml:space="preserve">）项 </w:t>
            </w:r>
            <w:r>
              <w:rPr>
                <w:rFonts w:ascii="Times New Roman" w:hAnsi="Times New Roman" w:eastAsia="仿宋_GB2312" w:cs="Times New Roman"/>
                <w:snapToGrid w:val="0"/>
                <w:sz w:val="24"/>
              </w:rPr>
              <w:t>有下列行为之一的，由市场监督管理部门责令停止发布广告，责令广告主在相应范围内消除影响，处广告费用一倍以上三倍以下的罚款，广告费用无法计算或者明显偏低的，处十万元以上二十万元以下的罚款；情节严重的，处广告费用三倍以上五倍以下的罚款，广告费用无法计算或者明显偏低的，处二十万元以上一百万元以下的罚款，可以吊销营业执照，并由广告审查机关撤销广告审查批准文件、一年内不受理其广告审查申请：</w:t>
            </w:r>
          </w:p>
          <w:p w14:paraId="4BB3392E">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（六）违反本法第二十四条规定发布教育、培训广告的；</w:t>
            </w:r>
          </w:p>
        </w:tc>
        <w:tc>
          <w:tcPr>
            <w:tcW w:w="1196" w:type="dxa"/>
            <w:noWrap w:val="0"/>
            <w:vAlign w:val="center"/>
          </w:tcPr>
          <w:p w14:paraId="78EE3064">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C4FC7B9">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教育培训类广告应符合法律规定，不得含有保证通过考试、获得学历、合格证书等明示或暗示性内容；不得含有通过教育培训能达到什么样的效果等明示或暗示的保证性承诺内容；不能用学术机构、专业人士以及受益人的名义或形象对培训效果作推荐、证明。</w:t>
            </w:r>
          </w:p>
        </w:tc>
        <w:tc>
          <w:tcPr>
            <w:tcW w:w="1309" w:type="dxa"/>
            <w:noWrap w:val="0"/>
            <w:vAlign w:val="center"/>
          </w:tcPr>
          <w:p w14:paraId="4155A78F">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sz w:val="24"/>
                <w:szCs w:val="24"/>
                <w:lang w:val="en-US" w:eastAsia="zh-CN"/>
              </w:rPr>
              <w:t>知识产权广告股、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66053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5FA151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31</w:t>
            </w:r>
          </w:p>
        </w:tc>
        <w:tc>
          <w:tcPr>
            <w:tcW w:w="1706" w:type="dxa"/>
            <w:noWrap w:val="0"/>
            <w:vAlign w:val="center"/>
          </w:tcPr>
          <w:p w14:paraId="3CEF348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ascii="Times New Roman" w:hAnsi="Times New Roman" w:eastAsia="仿宋_GB2312" w:cs="Times New Roman"/>
                <w:color w:val="auto"/>
                <w:kern w:val="2"/>
                <w:sz w:val="24"/>
                <w:szCs w:val="24"/>
                <w:lang w:eastAsia="zh-CN"/>
              </w:rPr>
              <w:t>房地产广告，房源信息应当真实</w:t>
            </w:r>
          </w:p>
        </w:tc>
        <w:tc>
          <w:tcPr>
            <w:tcW w:w="2187" w:type="dxa"/>
            <w:noWrap w:val="0"/>
            <w:vAlign w:val="center"/>
          </w:tcPr>
          <w:p w14:paraId="3B3F3D82">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w:t>
            </w:r>
            <w:r>
              <w:rPr>
                <w:rFonts w:ascii="Times New Roman" w:hAnsi="Times New Roman" w:eastAsia="仿宋_GB2312" w:cs="Times New Roman"/>
                <w:color w:val="auto"/>
                <w:kern w:val="2"/>
                <w:sz w:val="24"/>
                <w:szCs w:val="24"/>
              </w:rPr>
              <w:t>升值或者投资回报的承诺；</w:t>
            </w:r>
          </w:p>
          <w:p w14:paraId="3EC20EDB">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w:t>
            </w:r>
            <w:r>
              <w:rPr>
                <w:rFonts w:ascii="Times New Roman" w:hAnsi="Times New Roman" w:eastAsia="仿宋_GB2312" w:cs="Times New Roman"/>
                <w:color w:val="auto"/>
                <w:kern w:val="2"/>
                <w:sz w:val="24"/>
                <w:szCs w:val="24"/>
              </w:rPr>
              <w:t>以项目到达某一具体参照物的所需时间表示项目位置；</w:t>
            </w:r>
          </w:p>
          <w:p w14:paraId="545FB410">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w:t>
            </w:r>
            <w:r>
              <w:rPr>
                <w:rFonts w:ascii="Times New Roman" w:hAnsi="Times New Roman" w:eastAsia="仿宋_GB2312" w:cs="Times New Roman"/>
                <w:color w:val="auto"/>
                <w:kern w:val="2"/>
                <w:sz w:val="24"/>
                <w:szCs w:val="24"/>
              </w:rPr>
              <w:t>违反国家有关价格管理的规定；</w:t>
            </w:r>
          </w:p>
          <w:p w14:paraId="7A9094F0">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四、</w:t>
            </w:r>
            <w:r>
              <w:rPr>
                <w:rFonts w:ascii="Times New Roman" w:hAnsi="Times New Roman" w:eastAsia="仿宋_GB2312" w:cs="Times New Roman"/>
                <w:snapToGrid w:val="0"/>
                <w:sz w:val="24"/>
              </w:rPr>
              <w:t>对规划或者建设中的交通、商业、文化教育设施以及其他市政条件作误导宣传。</w:t>
            </w:r>
          </w:p>
          <w:p w14:paraId="5479AE74">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p>
        </w:tc>
        <w:tc>
          <w:tcPr>
            <w:tcW w:w="4750" w:type="dxa"/>
            <w:noWrap w:val="0"/>
            <w:vAlign w:val="top"/>
          </w:tcPr>
          <w:p w14:paraId="76EED7D2">
            <w:pPr>
              <w:pStyle w:val="7"/>
              <w:spacing w:line="280" w:lineRule="exact"/>
              <w:rPr>
                <w:rFonts w:ascii="Times New Roman" w:hAnsi="Times New Roman" w:eastAsia="仿宋_GB2312" w:cs="Times New Roman"/>
                <w:sz w:val="24"/>
              </w:rPr>
            </w:pPr>
            <w:r>
              <w:rPr>
                <w:rFonts w:hint="default" w:ascii="Times New Roman" w:hAnsi="Times New Roman" w:eastAsia="仿宋_GB2312" w:cs="Times New Roman"/>
                <w:b/>
                <w:snapToGrid w:val="0"/>
                <w:sz w:val="24"/>
              </w:rPr>
              <w:t>《中华人民共和国广告法》</w:t>
            </w:r>
          </w:p>
          <w:p w14:paraId="5E9EE3A4">
            <w:pPr>
              <w:spacing w:line="280" w:lineRule="exact"/>
              <w:ind w:firstLine="482"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第二十六条</w:t>
            </w:r>
            <w:r>
              <w:rPr>
                <w:rFonts w:ascii="Times New Roman" w:hAnsi="Times New Roman" w:eastAsia="仿宋_GB2312" w:cs="Times New Roman"/>
                <w:color w:val="auto"/>
                <w:kern w:val="2"/>
                <w:sz w:val="24"/>
                <w:szCs w:val="24"/>
              </w:rPr>
              <w:t>，面积应当表明为建筑面积或者套内建筑面积，并不得含有下列内容：</w:t>
            </w:r>
          </w:p>
          <w:p w14:paraId="19BF2922">
            <w:pPr>
              <w:spacing w:line="280" w:lineRule="exact"/>
              <w:ind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（一）升值或者投资回报的承诺；</w:t>
            </w:r>
          </w:p>
          <w:p w14:paraId="0FCA4746">
            <w:pPr>
              <w:spacing w:line="280" w:lineRule="exact"/>
              <w:ind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（二）以项目到达某一具体参照物的所需时间表示项目位置；</w:t>
            </w:r>
          </w:p>
          <w:p w14:paraId="76306938">
            <w:pPr>
              <w:spacing w:line="280" w:lineRule="exact"/>
              <w:ind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（三）违反国家有关价格管理的规定；</w:t>
            </w:r>
          </w:p>
          <w:p w14:paraId="59D07A1F">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（四）对规划或者建设中的交通、商业、文化教育设施以及其他市政条件作误导宣传。</w:t>
            </w:r>
          </w:p>
          <w:p w14:paraId="70525E86">
            <w:pPr>
              <w:pStyle w:val="7"/>
              <w:spacing w:line="280" w:lineRule="exact"/>
              <w:ind w:firstLine="482" w:firstLineChars="200"/>
              <w:rPr>
                <w:rFonts w:ascii="Times New Roman" w:hAnsi="Times New Roman" w:eastAsia="仿宋_GB2312" w:cs="Times New Roman"/>
                <w:snapToGrid w:val="0"/>
                <w:sz w:val="24"/>
              </w:rPr>
            </w:pPr>
            <w:r>
              <w:rPr>
                <w:rFonts w:ascii="Times New Roman" w:hAnsi="Times New Roman" w:eastAsia="仿宋_GB2312" w:cs="Times New Roman"/>
                <w:b/>
                <w:snapToGrid w:val="0"/>
                <w:sz w:val="24"/>
              </w:rPr>
              <w:t>第五十八条</w:t>
            </w:r>
            <w:r>
              <w:rPr>
                <w:rFonts w:hint="default" w:ascii="Times New Roman" w:hAnsi="Times New Roman" w:eastAsia="仿宋_GB2312" w:cs="Times New Roman"/>
                <w:b/>
                <w:snapToGrid w:val="0"/>
                <w:sz w:val="24"/>
              </w:rPr>
              <w:t xml:space="preserve">第一款第（八）项 </w:t>
            </w:r>
            <w:r>
              <w:rPr>
                <w:rFonts w:ascii="Times New Roman" w:hAnsi="Times New Roman" w:eastAsia="仿宋_GB2312" w:cs="Times New Roman"/>
                <w:snapToGrid w:val="0"/>
                <w:sz w:val="24"/>
              </w:rPr>
              <w:t>有下列行为之一的，由市场监督管理部门责令停止发布广告，责令广告主在相应范围内消除影响，处广告费用一倍以上三倍以下的罚款，广告费用无法计算或者明显偏低的，处十万元以上二十万元以下的罚款；情节严重的，处广告费用三倍以上五倍以下的罚款，广告费用无法计算或者明显偏低的，处二十万元以上一百万元以下的罚款，可以吊销营业执照，并由广告审查机关撤销广告审查批准文件、一年内不受理其广告审查申请：</w:t>
            </w:r>
          </w:p>
          <w:p w14:paraId="5548FDA2">
            <w:pPr>
              <w:pStyle w:val="7"/>
              <w:spacing w:line="280" w:lineRule="exact"/>
              <w:ind w:firstLine="480" w:firstLineChars="200"/>
              <w:rPr>
                <w:rFonts w:ascii="Times New Roman" w:hAnsi="Times New Roman" w:eastAsia="仿宋_GB2312" w:cs="Times New Roman"/>
                <w:snapToGrid w:val="0"/>
                <w:sz w:val="24"/>
              </w:rPr>
            </w:pPr>
            <w:r>
              <w:rPr>
                <w:rFonts w:ascii="Times New Roman" w:hAnsi="Times New Roman" w:eastAsia="仿宋_GB2312" w:cs="Times New Roman"/>
                <w:snapToGrid w:val="0"/>
                <w:sz w:val="24"/>
              </w:rPr>
              <w:t>（八）违反本法第二十六条规定发布房地产广告的；</w:t>
            </w:r>
          </w:p>
        </w:tc>
        <w:tc>
          <w:tcPr>
            <w:tcW w:w="1196" w:type="dxa"/>
            <w:noWrap w:val="0"/>
            <w:vAlign w:val="center"/>
          </w:tcPr>
          <w:p w14:paraId="5330DB72">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586430D">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房地产开发企业、房地产权利人、房地产中介服务机构发布的房地产项目预售、预租、出售、出租、项目转让以及其他房地产项目介绍的广告，不得含有</w:t>
            </w:r>
            <w:r>
              <w:rPr>
                <w:rFonts w:ascii="Times New Roman" w:hAnsi="Times New Roman" w:eastAsia="仿宋_GB2312" w:cs="Times New Roman"/>
                <w:color w:val="auto"/>
                <w:kern w:val="2"/>
                <w:sz w:val="24"/>
                <w:szCs w:val="24"/>
              </w:rPr>
              <w:t>升值或者投资回报的承诺</w:t>
            </w:r>
            <w:r>
              <w:rPr>
                <w:rFonts w:hint="default" w:ascii="Times New Roman" w:hAnsi="Times New Roman" w:eastAsia="仿宋_GB2312" w:cs="Times New Roman"/>
                <w:color w:val="auto"/>
                <w:kern w:val="2"/>
                <w:sz w:val="24"/>
                <w:szCs w:val="24"/>
              </w:rPr>
              <w:t>；不得</w:t>
            </w:r>
            <w:r>
              <w:rPr>
                <w:rFonts w:ascii="Times New Roman" w:hAnsi="Times New Roman" w:eastAsia="仿宋_GB2312" w:cs="Times New Roman"/>
                <w:color w:val="auto"/>
                <w:kern w:val="2"/>
                <w:sz w:val="24"/>
                <w:szCs w:val="24"/>
              </w:rPr>
              <w:t>以项目到达某一具体参照物的所需时间表示项目位置</w:t>
            </w:r>
            <w:r>
              <w:rPr>
                <w:rFonts w:hint="default" w:ascii="Times New Roman" w:hAnsi="Times New Roman" w:eastAsia="仿宋_GB2312" w:cs="Times New Roman"/>
                <w:color w:val="auto"/>
                <w:kern w:val="2"/>
                <w:sz w:val="24"/>
                <w:szCs w:val="24"/>
              </w:rPr>
              <w:t>；不得</w:t>
            </w:r>
            <w:r>
              <w:rPr>
                <w:rFonts w:ascii="Times New Roman" w:hAnsi="Times New Roman" w:eastAsia="仿宋_GB2312" w:cs="Times New Roman"/>
                <w:color w:val="auto"/>
                <w:kern w:val="2"/>
                <w:sz w:val="24"/>
                <w:szCs w:val="24"/>
              </w:rPr>
              <w:t>违反国家有关价格管理的规定；</w:t>
            </w:r>
            <w:r>
              <w:rPr>
                <w:rFonts w:hint="default" w:ascii="Times New Roman" w:hAnsi="Times New Roman" w:eastAsia="仿宋_GB2312" w:cs="Times New Roman"/>
                <w:color w:val="auto"/>
                <w:kern w:val="2"/>
                <w:sz w:val="24"/>
                <w:szCs w:val="24"/>
              </w:rPr>
              <w:t>对规划或者建设中的交通、商业、文化教育设施以及其他市政条件作误导宣传，涉及的交通、商业、文化、教育、医疗、体育以及电力、环境卫生等公共设施尚处于规划中、建设中的应注明。</w:t>
            </w:r>
          </w:p>
        </w:tc>
        <w:tc>
          <w:tcPr>
            <w:tcW w:w="1309" w:type="dxa"/>
            <w:noWrap w:val="0"/>
            <w:vAlign w:val="center"/>
          </w:tcPr>
          <w:p w14:paraId="48489B0A">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val="en-US" w:eastAsia="zh-CN"/>
              </w:rPr>
              <w:t>知识产权</w:t>
            </w:r>
            <w:r>
              <w:rPr>
                <w:rFonts w:hint="default" w:ascii="Times New Roman" w:hAnsi="Times New Roman" w:eastAsia="仿宋_GB2312" w:cs="Times New Roman"/>
                <w:color w:val="auto"/>
                <w:sz w:val="24"/>
                <w:szCs w:val="24"/>
                <w:lang w:val="en-US" w:eastAsia="zh-CN"/>
              </w:rPr>
              <w:t>广告股、</w:t>
            </w:r>
            <w:r>
              <w:rPr>
                <w:rFonts w:hint="default" w:ascii="Times New Roman" w:hAnsi="Times New Roman" w:eastAsia="仿宋_GB2312" w:cs="Times New Roman"/>
                <w:color w:val="auto"/>
                <w:sz w:val="24"/>
                <w:szCs w:val="24"/>
                <w:lang w:eastAsia="zh-CN"/>
              </w:rPr>
              <w:t>网监</w:t>
            </w:r>
            <w:r>
              <w:rPr>
                <w:rFonts w:hint="default" w:ascii="Times New Roman" w:hAnsi="Times New Roman" w:eastAsia="仿宋_GB2312" w:cs="Times New Roman"/>
                <w:color w:val="auto"/>
                <w:sz w:val="24"/>
                <w:szCs w:val="24"/>
                <w:lang w:val="en-US" w:eastAsia="zh-CN"/>
              </w:rPr>
              <w:t>股</w:t>
            </w:r>
          </w:p>
        </w:tc>
      </w:tr>
      <w:tr w14:paraId="1112F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9435845">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32</w:t>
            </w:r>
          </w:p>
        </w:tc>
        <w:tc>
          <w:tcPr>
            <w:tcW w:w="1706" w:type="dxa"/>
            <w:noWrap w:val="0"/>
            <w:vAlign w:val="center"/>
          </w:tcPr>
          <w:p w14:paraId="356FE405">
            <w:pPr>
              <w:pStyle w:val="7"/>
              <w:spacing w:line="280" w:lineRule="exact"/>
              <w:ind w:firstLine="480" w:firstLineChars="200"/>
              <w:rPr>
                <w:rFonts w:ascii="Times New Roman" w:hAnsi="Times New Roman" w:eastAsia="仿宋_GB2312" w:cs="Times New Roman"/>
                <w:snapToGrid w:val="0"/>
                <w:sz w:val="24"/>
              </w:rPr>
            </w:pPr>
            <w:r>
              <w:rPr>
                <w:rFonts w:hint="default" w:ascii="Times New Roman" w:hAnsi="Times New Roman" w:eastAsia="仿宋_GB2312" w:cs="Times New Roman"/>
                <w:snapToGrid w:val="0"/>
                <w:sz w:val="24"/>
              </w:rPr>
              <w:t>生产、销售的产品质量应当符合标准和要求</w:t>
            </w:r>
          </w:p>
        </w:tc>
        <w:tc>
          <w:tcPr>
            <w:tcW w:w="2187" w:type="dxa"/>
            <w:noWrap w:val="0"/>
            <w:vAlign w:val="center"/>
          </w:tcPr>
          <w:p w14:paraId="012997B5">
            <w:pPr>
              <w:spacing w:line="280" w:lineRule="exact"/>
              <w:ind w:firstLine="480" w:firstLineChars="200"/>
              <w:rPr>
                <w:rFonts w:ascii="Times New Roman" w:hAnsi="Times New Roman" w:eastAsia="仿宋_GB2312" w:cs="Times New Roman"/>
                <w:snapToGrid/>
                <w:color w:val="auto"/>
                <w:sz w:val="24"/>
                <w:szCs w:val="24"/>
              </w:rPr>
            </w:pPr>
            <w:r>
              <w:rPr>
                <w:rFonts w:hint="default" w:ascii="Times New Roman" w:hAnsi="Times New Roman" w:eastAsia="仿宋_GB2312" w:cs="Times New Roman"/>
                <w:color w:val="auto"/>
                <w:kern w:val="2"/>
                <w:sz w:val="24"/>
                <w:szCs w:val="24"/>
              </w:rPr>
              <w:t>生产、销售不符合保障人体健康和人身、财产安全的国</w:t>
            </w:r>
            <w:r>
              <w:rPr>
                <w:rFonts w:hint="default" w:ascii="Times New Roman" w:hAnsi="Times New Roman" w:eastAsia="仿宋_GB2312" w:cs="Times New Roman"/>
                <w:snapToGrid/>
                <w:color w:val="auto"/>
                <w:sz w:val="24"/>
                <w:szCs w:val="24"/>
              </w:rPr>
              <w:t>家标准、行业标准的产品。</w:t>
            </w:r>
          </w:p>
        </w:tc>
        <w:tc>
          <w:tcPr>
            <w:tcW w:w="4750" w:type="dxa"/>
            <w:noWrap w:val="0"/>
            <w:vAlign w:val="top"/>
          </w:tcPr>
          <w:p w14:paraId="102837DA">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《中华人民共和国产品质量法》</w:t>
            </w:r>
          </w:p>
          <w:p w14:paraId="42F96310">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第二十六条 </w:t>
            </w:r>
            <w:r>
              <w:rPr>
                <w:rFonts w:hint="default" w:ascii="Times New Roman" w:hAnsi="Times New Roman" w:eastAsia="仿宋_GB2312" w:cs="Times New Roman"/>
                <w:color w:val="auto"/>
                <w:kern w:val="2"/>
                <w:sz w:val="24"/>
                <w:szCs w:val="24"/>
              </w:rPr>
              <w:t>生产者应当对其生产的产品质量负责。</w:t>
            </w:r>
          </w:p>
          <w:p w14:paraId="52E52190">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产品质量应当符合下列要求：</w:t>
            </w:r>
          </w:p>
          <w:p w14:paraId="4DDEF374">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（一）不存在危及人身、财产安全的不合理的危险，有保障人体健康和人身、财产安全的国家标准、行业标准的，应当符合该标准；</w:t>
            </w:r>
          </w:p>
          <w:p w14:paraId="0186C1E6">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（二）具备产品应当具备的使用性能，但是，对产品存在使用性能的瑕疵作出说明的除外；</w:t>
            </w:r>
          </w:p>
          <w:p w14:paraId="4789B0D0">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（三）符合在产品或者其包装上注明采用的产品标准，符合以产品说明、实物样品等方式表明的质量状况。</w:t>
            </w:r>
          </w:p>
          <w:p w14:paraId="3A4EFB44">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第四十九条 </w:t>
            </w:r>
            <w:r>
              <w:rPr>
                <w:rFonts w:hint="default" w:ascii="Times New Roman" w:hAnsi="Times New Roman" w:eastAsia="仿宋_GB2312" w:cs="Times New Roman"/>
                <w:color w:val="auto"/>
                <w:kern w:val="2"/>
                <w:sz w:val="24"/>
                <w:szCs w:val="24"/>
              </w:rPr>
              <w:t>生产、销售不符合保障人体健康和人身、财产安全的国家标准、行业标准的产品的，责令停止生产、销售，没收违法生产、销售的产品，并处违法生产、销售产品（包括已售出和未售出的产品，下同）货值金额等值以上三倍以下的罚款；有违法所得的，并处没收违法所得；情节严重的，吊销营业执照；构成犯罪的，依法追究刑事责任。</w:t>
            </w:r>
          </w:p>
          <w:p w14:paraId="5F261D34">
            <w:pPr>
              <w:spacing w:line="280" w:lineRule="exact"/>
              <w:ind w:firstLine="422"/>
              <w:rPr>
                <w:rFonts w:ascii="Times New Roman" w:hAnsi="Times New Roman" w:eastAsia="宋体" w:cs="Times New Roman"/>
                <w:sz w:val="24"/>
                <w:szCs w:val="24"/>
              </w:rPr>
            </w:pPr>
            <w:r>
              <w:rPr>
                <w:rFonts w:hint="default" w:ascii="Times New Roman" w:hAnsi="Times New Roman" w:eastAsia="仿宋_GB2312" w:cs="Times New Roman"/>
                <w:b/>
                <w:color w:val="auto"/>
                <w:kern w:val="2"/>
                <w:sz w:val="24"/>
                <w:szCs w:val="24"/>
              </w:rPr>
              <w:t xml:space="preserve">第六十二条 </w:t>
            </w:r>
            <w:r>
              <w:rPr>
                <w:rFonts w:hint="default" w:ascii="Times New Roman" w:hAnsi="Times New Roman" w:eastAsia="仿宋_GB2312" w:cs="Times New Roman"/>
                <w:color w:val="auto"/>
                <w:kern w:val="2"/>
                <w:sz w:val="24"/>
                <w:szCs w:val="24"/>
              </w:rPr>
              <w:t>服务业的经营者将本法第四十九条至第五十二条规定禁止销售的产品用于经营性服务的，责令停止使用；对知道或者应当知道所使用的产品属于本法规定禁止销售的产品的，按照违法使用的产品（包括已使用和尚未使用的产品）的货值金额，依照本法对销售者的处罚规定处罚。</w:t>
            </w:r>
          </w:p>
        </w:tc>
        <w:tc>
          <w:tcPr>
            <w:tcW w:w="1196" w:type="dxa"/>
            <w:noWrap w:val="0"/>
            <w:vAlign w:val="center"/>
          </w:tcPr>
          <w:p w14:paraId="7FEEC4FC">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F052F03">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可能危及人体健康和人身、财产安全的工业产品，必须符合保障人体健康和人身、财产安全的国家标准、行业标准；未制定国家标准、行业标准的，必须符合保障人体健康和人身、财产安全的要求。</w:t>
            </w:r>
          </w:p>
        </w:tc>
        <w:tc>
          <w:tcPr>
            <w:tcW w:w="1309" w:type="dxa"/>
            <w:noWrap w:val="0"/>
            <w:vAlign w:val="center"/>
          </w:tcPr>
          <w:p w14:paraId="1E98D823">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质量监督</w:t>
            </w:r>
            <w:r>
              <w:rPr>
                <w:rFonts w:hint="default" w:ascii="Times New Roman" w:hAnsi="Times New Roman" w:cs="Times New Roman"/>
                <w:color w:val="auto"/>
                <w:kern w:val="2"/>
                <w:sz w:val="24"/>
                <w:szCs w:val="24"/>
                <w:lang w:val="en-US" w:eastAsia="zh-CN"/>
              </w:rPr>
              <w:t>股</w:t>
            </w:r>
          </w:p>
        </w:tc>
      </w:tr>
      <w:tr w14:paraId="573BA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35AD2CF">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33</w:t>
            </w:r>
          </w:p>
        </w:tc>
        <w:tc>
          <w:tcPr>
            <w:tcW w:w="1706" w:type="dxa"/>
            <w:noWrap w:val="0"/>
            <w:vAlign w:val="center"/>
          </w:tcPr>
          <w:p w14:paraId="346A2B9D">
            <w:pPr>
              <w:pStyle w:val="6"/>
              <w:widowControl w:val="0"/>
              <w:kinsoku/>
              <w:overflowPunct w:val="0"/>
              <w:topLinePunct/>
              <w:autoSpaceDE/>
              <w:autoSpaceDN/>
              <w:spacing w:line="280" w:lineRule="exact"/>
              <w:ind w:firstLine="480" w:firstLineChars="200"/>
              <w:jc w:val="both"/>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生产者、销售者应当保证产品质量</w:t>
            </w:r>
          </w:p>
        </w:tc>
        <w:tc>
          <w:tcPr>
            <w:tcW w:w="2187" w:type="dxa"/>
            <w:noWrap w:val="0"/>
            <w:vAlign w:val="center"/>
          </w:tcPr>
          <w:p w14:paraId="4FE19D9F">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一、在产品中掺杂、掺假；</w:t>
            </w:r>
          </w:p>
          <w:p w14:paraId="74123888">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二、以假充真；</w:t>
            </w:r>
          </w:p>
          <w:p w14:paraId="44D853A1">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三、以次充好；</w:t>
            </w:r>
          </w:p>
          <w:p w14:paraId="09DE2CF0">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四、以不合格产品冒充合格产品。</w:t>
            </w:r>
          </w:p>
        </w:tc>
        <w:tc>
          <w:tcPr>
            <w:tcW w:w="4750" w:type="dxa"/>
            <w:noWrap w:val="0"/>
            <w:vAlign w:val="top"/>
          </w:tcPr>
          <w:p w14:paraId="16080EDB">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《中华人民共和国产品质量法》</w:t>
            </w:r>
          </w:p>
          <w:p w14:paraId="28F03E4E">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第三十二条 </w:t>
            </w:r>
            <w:r>
              <w:rPr>
                <w:rFonts w:hint="default" w:ascii="Times New Roman" w:hAnsi="Times New Roman" w:eastAsia="仿宋_GB2312" w:cs="Times New Roman"/>
                <w:color w:val="auto"/>
                <w:kern w:val="2"/>
                <w:sz w:val="24"/>
                <w:szCs w:val="24"/>
              </w:rPr>
              <w:t>生产者生产产品，不得掺杂、掺假，不得以假充真、以次充好，不得以不合格产品冒充合格产品。</w:t>
            </w:r>
          </w:p>
          <w:p w14:paraId="15BEBAC9">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第三十二条 </w:t>
            </w:r>
            <w:r>
              <w:rPr>
                <w:rFonts w:hint="default" w:ascii="Times New Roman" w:hAnsi="Times New Roman" w:eastAsia="仿宋_GB2312" w:cs="Times New Roman"/>
                <w:color w:val="auto"/>
                <w:kern w:val="2"/>
                <w:sz w:val="24"/>
                <w:szCs w:val="24"/>
              </w:rPr>
              <w:t>生产者生产产品，不得掺杂、掺假，不得以假充真、以次充好，不得以不合格产品冒充合格产品。</w:t>
            </w:r>
          </w:p>
          <w:p w14:paraId="18B67A32">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第五十条 </w:t>
            </w:r>
            <w:r>
              <w:rPr>
                <w:rFonts w:hint="default" w:ascii="Times New Roman" w:hAnsi="Times New Roman" w:eastAsia="仿宋_GB2312" w:cs="Times New Roman"/>
                <w:color w:val="auto"/>
                <w:kern w:val="2"/>
                <w:sz w:val="24"/>
                <w:szCs w:val="24"/>
              </w:rPr>
              <w:t>在产品中掺杂、掺假，以假充真，以次充好，或者以不合格产品冒充合格产品的，责令停止生产、销售，没收违法生产、销售的产品，并处违法生产、销售产品货值金额百分之五十以上三倍以下的罚款；有违法所得的，并处没收违法所得；情节严重的，吊销营业执照；构成犯罪的，依法追究刑事责任。</w:t>
            </w:r>
          </w:p>
          <w:p w14:paraId="737FF751">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第六十二条 </w:t>
            </w:r>
            <w:r>
              <w:rPr>
                <w:rFonts w:hint="default" w:ascii="Times New Roman" w:hAnsi="Times New Roman" w:eastAsia="仿宋_GB2312" w:cs="Times New Roman"/>
                <w:color w:val="auto"/>
                <w:kern w:val="2"/>
                <w:sz w:val="24"/>
                <w:szCs w:val="24"/>
              </w:rPr>
              <w:t>服务业的经营者将本法第四十九条至第五十二条规定禁止销售的产品用于经营性服务的，责令停止使用；对知道或者应当知道所使用的产品属于本法规定禁止销售的产品的，按照违法使用的产品（包括已使用和尚未使用的产品）的货值金额，依照本法对销售者的处罚规定处罚。</w:t>
            </w:r>
          </w:p>
        </w:tc>
        <w:tc>
          <w:tcPr>
            <w:tcW w:w="1196" w:type="dxa"/>
            <w:noWrap w:val="0"/>
            <w:vAlign w:val="center"/>
          </w:tcPr>
          <w:p w14:paraId="13FE4B26">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C96DFE5">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生产者、销售者不得在产品中掺入杂质或者造假，致使产品中有关物质的成分或者含量不符合国家有关法律、法规、标准规定的要求；不得用</w:t>
            </w:r>
            <w:r>
              <w:rPr>
                <w:rFonts w:ascii="Times New Roman" w:hAnsi="Times New Roman" w:eastAsia="仿宋_GB2312" w:cs="Times New Roman"/>
                <w:color w:val="auto"/>
                <w:kern w:val="2"/>
                <w:sz w:val="24"/>
                <w:szCs w:val="24"/>
              </w:rPr>
              <w:t>A</w:t>
            </w:r>
            <w:r>
              <w:rPr>
                <w:rFonts w:hint="default" w:ascii="Times New Roman" w:hAnsi="Times New Roman" w:eastAsia="仿宋_GB2312" w:cs="Times New Roman"/>
                <w:color w:val="auto"/>
                <w:kern w:val="2"/>
                <w:sz w:val="24"/>
                <w:szCs w:val="24"/>
              </w:rPr>
              <w:t>产品冒充与其特征、特性等不同的</w:t>
            </w:r>
            <w:r>
              <w:rPr>
                <w:rFonts w:ascii="Times New Roman" w:hAnsi="Times New Roman" w:eastAsia="仿宋_GB2312" w:cs="Times New Roman"/>
                <w:color w:val="auto"/>
                <w:kern w:val="2"/>
                <w:sz w:val="24"/>
                <w:szCs w:val="24"/>
              </w:rPr>
              <w:t xml:space="preserve">B </w:t>
            </w:r>
            <w:r>
              <w:rPr>
                <w:rFonts w:hint="default" w:ascii="Times New Roman" w:hAnsi="Times New Roman" w:eastAsia="仿宋_GB2312" w:cs="Times New Roman"/>
                <w:color w:val="auto"/>
                <w:kern w:val="2"/>
                <w:sz w:val="24"/>
                <w:szCs w:val="24"/>
              </w:rPr>
              <w:t>产品，或者冒充同一类产品中具有特定质量特征、特性的产品；不得以低档次、低等级产品冒充高档次、高等级产品或者以旧产品冒充新产品。</w:t>
            </w:r>
          </w:p>
        </w:tc>
        <w:tc>
          <w:tcPr>
            <w:tcW w:w="1309" w:type="dxa"/>
            <w:noWrap w:val="0"/>
            <w:vAlign w:val="center"/>
          </w:tcPr>
          <w:p w14:paraId="3D640C4E">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kern w:val="2"/>
                <w:sz w:val="24"/>
                <w:szCs w:val="24"/>
                <w:lang w:eastAsia="zh-CN"/>
              </w:rPr>
              <w:t>质量监督</w:t>
            </w:r>
            <w:r>
              <w:rPr>
                <w:rFonts w:hint="default" w:ascii="Times New Roman" w:hAnsi="Times New Roman" w:eastAsia="仿宋_GB2312" w:cs="Times New Roman"/>
                <w:color w:val="auto"/>
                <w:kern w:val="2"/>
                <w:sz w:val="24"/>
                <w:szCs w:val="24"/>
                <w:lang w:val="en-US" w:eastAsia="zh-CN"/>
              </w:rPr>
              <w:t>股</w:t>
            </w:r>
          </w:p>
        </w:tc>
      </w:tr>
      <w:tr w14:paraId="67B8E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7D47AF4">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34</w:t>
            </w:r>
          </w:p>
        </w:tc>
        <w:tc>
          <w:tcPr>
            <w:tcW w:w="1706" w:type="dxa"/>
            <w:noWrap w:val="0"/>
            <w:vAlign w:val="center"/>
          </w:tcPr>
          <w:p w14:paraId="659F3CF3">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产品或者其包装上的标识必须真实并符合法定要求</w:t>
            </w:r>
          </w:p>
        </w:tc>
        <w:tc>
          <w:tcPr>
            <w:tcW w:w="2187" w:type="dxa"/>
            <w:noWrap w:val="0"/>
            <w:vAlign w:val="center"/>
          </w:tcPr>
          <w:p w14:paraId="58BD6563">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一、无产品质量检验合格证明；</w:t>
            </w:r>
          </w:p>
          <w:p w14:paraId="43D90929">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二、中文标明的产品名称、生产厂厂名和厂址；</w:t>
            </w:r>
          </w:p>
          <w:p w14:paraId="4A35E840">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三、未根据产品的特点和使用要求标明产品规格、等级、所含主要成份的名称和含量；</w:t>
            </w:r>
          </w:p>
          <w:p w14:paraId="6D4030BB">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四、限期使用的产品，未在显著位置清晰地标明生产日期和安全使用期或者失效日期；</w:t>
            </w:r>
          </w:p>
          <w:p w14:paraId="5F03E887">
            <w:pPr>
              <w:pStyle w:val="6"/>
              <w:overflowPunct w:val="0"/>
              <w:topLinePunct/>
              <w:autoSpaceDE/>
              <w:autoSpaceDN/>
              <w:spacing w:line="280" w:lineRule="exact"/>
              <w:ind w:firstLine="480" w:firstLineChars="200"/>
              <w:jc w:val="both"/>
              <w:rPr>
                <w:rFonts w:ascii="Times New Roman" w:hAnsi="Times New Roman" w:eastAsia="仿宋_GB2312" w:cs="Times New Roman"/>
                <w:color w:val="auto"/>
                <w:kern w:val="2"/>
                <w:sz w:val="24"/>
                <w:szCs w:val="24"/>
                <w:lang w:eastAsia="zh-CN"/>
              </w:rPr>
            </w:pPr>
            <w:r>
              <w:rPr>
                <w:rFonts w:hint="default" w:ascii="Times New Roman" w:hAnsi="Times New Roman" w:eastAsia="仿宋_GB2312" w:cs="Times New Roman"/>
                <w:color w:val="auto"/>
                <w:kern w:val="2"/>
                <w:sz w:val="24"/>
                <w:szCs w:val="24"/>
                <w:lang w:eastAsia="zh-CN"/>
              </w:rPr>
              <w:t>五、使用不当，容易造成产品本身损坏或者可能危及人身、财产安全的产品，未有警示标志或者中文警示说明。</w:t>
            </w:r>
          </w:p>
        </w:tc>
        <w:tc>
          <w:tcPr>
            <w:tcW w:w="4750" w:type="dxa"/>
            <w:noWrap w:val="0"/>
            <w:vAlign w:val="top"/>
          </w:tcPr>
          <w:p w14:paraId="7FF4ACAB">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《中华人民共和国产品质量法》</w:t>
            </w:r>
          </w:p>
          <w:p w14:paraId="2C2F40FA">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第二十七条 </w:t>
            </w:r>
            <w:r>
              <w:rPr>
                <w:rFonts w:hint="default" w:ascii="Times New Roman" w:hAnsi="Times New Roman" w:eastAsia="仿宋_GB2312" w:cs="Times New Roman"/>
                <w:color w:val="auto"/>
                <w:kern w:val="2"/>
                <w:sz w:val="24"/>
                <w:szCs w:val="24"/>
              </w:rPr>
              <w:t>产品或者其包装上的标识必须真实，并符合下列要求：</w:t>
            </w:r>
          </w:p>
          <w:p w14:paraId="4FE23C1C">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（一）有产品质量检验合格证明；</w:t>
            </w:r>
          </w:p>
          <w:p w14:paraId="187B4A58">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（二）有中文标明的产品名称、生产厂厂名和厂址；</w:t>
            </w:r>
          </w:p>
          <w:p w14:paraId="478D2197">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（三）根据产品的特点和使用要求，需要标明产品规格、等级、所含主要成份的名称和含量的，用中文相应予以标明；需要事先让消费者知晓的，应当在外包装上标明，或者预先向消费者提供有关资料；</w:t>
            </w:r>
          </w:p>
          <w:p w14:paraId="1231EDE4">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（四）限期使用的产品，应当在显著位置清晰地标明生产日期和安全使用期或者失效日期；</w:t>
            </w:r>
          </w:p>
          <w:p w14:paraId="3802738F">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（五）使用不当，容易造成产品本身损坏或者可能危及人身、财产安全的产品，应当有警示标志或者中文警示说明。</w:t>
            </w:r>
          </w:p>
          <w:p w14:paraId="0D4A6AF1">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裸装的食品和其他根据产品的特点难以附加标识的裸装产品，可以不附加产品标识。</w:t>
            </w:r>
          </w:p>
          <w:p w14:paraId="76925C4D">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第三十六条 </w:t>
            </w:r>
            <w:r>
              <w:rPr>
                <w:rFonts w:hint="default" w:ascii="Times New Roman" w:hAnsi="Times New Roman" w:eastAsia="仿宋_GB2312" w:cs="Times New Roman"/>
                <w:color w:val="auto"/>
                <w:kern w:val="2"/>
                <w:sz w:val="24"/>
                <w:szCs w:val="24"/>
              </w:rPr>
              <w:t>销售者销售的产品的标识应当符合本法第二十七条的规定。</w:t>
            </w:r>
          </w:p>
          <w:p w14:paraId="0A68FB7F">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第五十四条 </w:t>
            </w:r>
            <w:r>
              <w:rPr>
                <w:rFonts w:hint="default" w:ascii="Times New Roman" w:hAnsi="Times New Roman" w:eastAsia="仿宋_GB2312" w:cs="Times New Roman"/>
                <w:color w:val="auto"/>
                <w:kern w:val="2"/>
                <w:sz w:val="24"/>
                <w:szCs w:val="24"/>
              </w:rPr>
              <w:t>产品标识不符合本法第二十七条规定的，责令改正；有包装的产品标识不符合本法第二十七条第（四）项、第（五）项规定，情节严重的，责令停止生产、销售，并处违法生产、销售产品货值金额百分之三十以下的罚款；有违法所得的，并处没收违法所得。</w:t>
            </w:r>
          </w:p>
        </w:tc>
        <w:tc>
          <w:tcPr>
            <w:tcW w:w="1196" w:type="dxa"/>
            <w:noWrap w:val="0"/>
            <w:vAlign w:val="center"/>
          </w:tcPr>
          <w:p w14:paraId="5EFA2E9B">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64F12CE">
            <w:pPr>
              <w:pStyle w:val="6"/>
              <w:widowControl w:val="0"/>
              <w:kinsoku/>
              <w:overflowPunct w:val="0"/>
              <w:topLinePunct/>
              <w:autoSpaceDE/>
              <w:autoSpaceDN/>
              <w:spacing w:line="280" w:lineRule="exact"/>
              <w:ind w:firstLine="480" w:firstLineChars="200"/>
              <w:jc w:val="center"/>
              <w:rPr>
                <w:rFonts w:hint="default" w:ascii="Times New Roman" w:hAnsi="Times New Roman" w:eastAsia="方正仿宋_GBK" w:cs="Times New Roman"/>
                <w:sz w:val="24"/>
                <w:szCs w:val="24"/>
                <w:lang w:eastAsia="zh-CN"/>
              </w:rPr>
            </w:pPr>
          </w:p>
        </w:tc>
        <w:tc>
          <w:tcPr>
            <w:tcW w:w="1309" w:type="dxa"/>
            <w:noWrap w:val="0"/>
            <w:vAlign w:val="center"/>
          </w:tcPr>
          <w:p w14:paraId="42513D12">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kern w:val="2"/>
                <w:sz w:val="24"/>
                <w:szCs w:val="24"/>
                <w:lang w:eastAsia="zh-CN"/>
              </w:rPr>
              <w:t>质量监督</w:t>
            </w:r>
            <w:r>
              <w:rPr>
                <w:rFonts w:hint="default" w:ascii="Times New Roman" w:hAnsi="Times New Roman" w:eastAsia="仿宋_GB2312" w:cs="Times New Roman"/>
                <w:color w:val="auto"/>
                <w:kern w:val="2"/>
                <w:sz w:val="24"/>
                <w:szCs w:val="24"/>
                <w:lang w:val="en-US" w:eastAsia="zh-CN"/>
              </w:rPr>
              <w:t>股</w:t>
            </w:r>
          </w:p>
        </w:tc>
      </w:tr>
      <w:tr w14:paraId="78187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0B08975">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35</w:t>
            </w:r>
          </w:p>
        </w:tc>
        <w:tc>
          <w:tcPr>
            <w:tcW w:w="1706" w:type="dxa"/>
            <w:noWrap w:val="0"/>
            <w:vAlign w:val="center"/>
          </w:tcPr>
          <w:p w14:paraId="1EBF6F6E">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未取得生产许可证不得生产列入目录的产品；不得销售或者在经营活动中使用未取得生产许可证的列入目录产品</w:t>
            </w:r>
          </w:p>
        </w:tc>
        <w:tc>
          <w:tcPr>
            <w:tcW w:w="2187" w:type="dxa"/>
            <w:noWrap w:val="0"/>
            <w:vAlign w:val="center"/>
          </w:tcPr>
          <w:p w14:paraId="7E901AF0">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未取得生产许可证生产列入工业产品生产许可证目录的产品，销售或者在经营活动中使用未取得生产许可证的列入目录产品。</w:t>
            </w:r>
          </w:p>
        </w:tc>
        <w:tc>
          <w:tcPr>
            <w:tcW w:w="4750" w:type="dxa"/>
            <w:noWrap w:val="0"/>
            <w:vAlign w:val="top"/>
          </w:tcPr>
          <w:p w14:paraId="1699D7A7">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《中华人民共和国工业产品生产许可证管理条例》</w:t>
            </w:r>
          </w:p>
          <w:p w14:paraId="0F1B43B1">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第五条 </w:t>
            </w:r>
            <w:r>
              <w:rPr>
                <w:rFonts w:hint="default" w:ascii="Times New Roman" w:hAnsi="Times New Roman" w:eastAsia="仿宋_GB2312" w:cs="Times New Roman"/>
                <w:color w:val="auto"/>
                <w:kern w:val="2"/>
                <w:sz w:val="24"/>
                <w:szCs w:val="24"/>
              </w:rPr>
              <w:t>任何企业未取得生产许可证不得生产列入目录的产品。任何单位和个人不得销售或者在经营活动中使用未取得生产许可证的列入目录产品。</w:t>
            </w:r>
          </w:p>
          <w:p w14:paraId="4258D048">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第四十五条 </w:t>
            </w:r>
            <w:r>
              <w:rPr>
                <w:rFonts w:hint="default" w:ascii="Times New Roman" w:hAnsi="Times New Roman" w:eastAsia="仿宋_GB2312" w:cs="Times New Roman"/>
                <w:color w:val="auto"/>
                <w:kern w:val="2"/>
                <w:sz w:val="24"/>
                <w:szCs w:val="24"/>
              </w:rPr>
              <w:t>企业未依照本条例规定申请取得生产许可证而擅自生产列入目录产品的，由工业产品生产许可证主管部门责令停止生产，没收违法生产的产品，处违法生产产品货值金额等值以上</w:t>
            </w:r>
            <w:r>
              <w:rPr>
                <w:rFonts w:ascii="Times New Roman" w:hAnsi="Times New Roman" w:eastAsia="仿宋_GB2312" w:cs="Times New Roman"/>
                <w:color w:val="auto"/>
                <w:kern w:val="2"/>
                <w:sz w:val="24"/>
                <w:szCs w:val="24"/>
              </w:rPr>
              <w:t xml:space="preserve"> 3</w:t>
            </w:r>
            <w:r>
              <w:rPr>
                <w:rFonts w:hint="default" w:ascii="Times New Roman" w:hAnsi="Times New Roman" w:eastAsia="仿宋_GB2312" w:cs="Times New Roman"/>
                <w:color w:val="auto"/>
                <w:kern w:val="2"/>
                <w:sz w:val="24"/>
                <w:szCs w:val="24"/>
              </w:rPr>
              <w:t>倍以下的罚款；有违法所得的，没收违法所得；构成犯罪的，依法追究刑事责任。</w:t>
            </w:r>
          </w:p>
          <w:p w14:paraId="734CF891">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第四十八条 </w:t>
            </w:r>
            <w:r>
              <w:rPr>
                <w:rFonts w:hint="default" w:ascii="Times New Roman" w:hAnsi="Times New Roman" w:eastAsia="仿宋_GB2312" w:cs="Times New Roman"/>
                <w:color w:val="auto"/>
                <w:kern w:val="2"/>
                <w:sz w:val="24"/>
                <w:szCs w:val="24"/>
              </w:rPr>
              <w:t>销售或者在经营活动中使用未取得生产许可证的列入目录产品的，责令改正，处</w:t>
            </w:r>
            <w:r>
              <w:rPr>
                <w:rFonts w:ascii="Times New Roman" w:hAnsi="Times New Roman" w:eastAsia="仿宋_GB2312" w:cs="Times New Roman"/>
                <w:color w:val="auto"/>
                <w:kern w:val="2"/>
                <w:sz w:val="24"/>
                <w:szCs w:val="24"/>
              </w:rPr>
              <w:t xml:space="preserve"> 5</w:t>
            </w:r>
            <w:r>
              <w:rPr>
                <w:rFonts w:hint="default" w:ascii="Times New Roman" w:hAnsi="Times New Roman" w:eastAsia="仿宋_GB2312" w:cs="Times New Roman"/>
                <w:color w:val="auto"/>
                <w:kern w:val="2"/>
                <w:sz w:val="24"/>
                <w:szCs w:val="24"/>
              </w:rPr>
              <w:t>万元以上</w:t>
            </w:r>
            <w:r>
              <w:rPr>
                <w:rFonts w:ascii="Times New Roman" w:hAnsi="Times New Roman" w:eastAsia="仿宋_GB2312" w:cs="Times New Roman"/>
                <w:color w:val="auto"/>
                <w:kern w:val="2"/>
                <w:sz w:val="24"/>
                <w:szCs w:val="24"/>
              </w:rPr>
              <w:t>20</w:t>
            </w:r>
            <w:r>
              <w:rPr>
                <w:rFonts w:hint="default" w:ascii="Times New Roman" w:hAnsi="Times New Roman" w:eastAsia="仿宋_GB2312" w:cs="Times New Roman"/>
                <w:color w:val="auto"/>
                <w:kern w:val="2"/>
                <w:sz w:val="24"/>
                <w:szCs w:val="24"/>
              </w:rPr>
              <w:t>万元以下的罚款；有违法所得的，没收违法所得；构成犯罪的，依法追究刑事责任。</w:t>
            </w:r>
          </w:p>
        </w:tc>
        <w:tc>
          <w:tcPr>
            <w:tcW w:w="1196" w:type="dxa"/>
            <w:noWrap w:val="0"/>
            <w:vAlign w:val="center"/>
          </w:tcPr>
          <w:p w14:paraId="0495BC65">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86F7675">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企业应关注实行生产许可证制度的工业产品目录变化，按要求申请取得生产许可证；单位和个人不得销售或者在经营活动中使用未取得生产许可证的列入目录产品</w:t>
            </w:r>
          </w:p>
        </w:tc>
        <w:tc>
          <w:tcPr>
            <w:tcW w:w="1309" w:type="dxa"/>
            <w:noWrap w:val="0"/>
            <w:vAlign w:val="center"/>
          </w:tcPr>
          <w:p w14:paraId="3FC0B9BE">
            <w:pPr>
              <w:pStyle w:val="6"/>
              <w:widowControl w:val="0"/>
              <w:kinsoku/>
              <w:overflowPunct w:val="0"/>
              <w:topLinePunct/>
              <w:autoSpaceDE/>
              <w:autoSpaceDN/>
              <w:spacing w:line="280" w:lineRule="exact"/>
              <w:jc w:val="center"/>
              <w:rPr>
                <w:rFonts w:ascii="Times New Roman" w:hAnsi="Times New Roman" w:eastAsia="仿宋_GB2312" w:cs="Times New Roman"/>
                <w:sz w:val="24"/>
                <w:szCs w:val="24"/>
                <w:lang w:eastAsia="zh-CN"/>
              </w:rPr>
            </w:pPr>
            <w:r>
              <w:rPr>
                <w:rFonts w:hint="default" w:ascii="Times New Roman" w:hAnsi="Times New Roman" w:eastAsia="仿宋_GB2312" w:cs="Times New Roman"/>
                <w:color w:val="auto"/>
                <w:kern w:val="2"/>
                <w:sz w:val="24"/>
                <w:szCs w:val="24"/>
                <w:lang w:eastAsia="zh-CN"/>
              </w:rPr>
              <w:t>质量监督</w:t>
            </w:r>
            <w:r>
              <w:rPr>
                <w:rFonts w:hint="default" w:ascii="Times New Roman" w:hAnsi="Times New Roman" w:eastAsia="仿宋_GB2312" w:cs="Times New Roman"/>
                <w:color w:val="auto"/>
                <w:kern w:val="2"/>
                <w:sz w:val="24"/>
                <w:szCs w:val="24"/>
                <w:lang w:val="en-US" w:eastAsia="zh-CN"/>
              </w:rPr>
              <w:t>股</w:t>
            </w:r>
          </w:p>
        </w:tc>
      </w:tr>
      <w:tr w14:paraId="74A09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9A4CC8C">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36</w:t>
            </w:r>
          </w:p>
        </w:tc>
        <w:tc>
          <w:tcPr>
            <w:tcW w:w="1706" w:type="dxa"/>
            <w:noWrap w:val="0"/>
            <w:vAlign w:val="center"/>
          </w:tcPr>
          <w:p w14:paraId="08CBB119">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食品生产经营者从事食品生产、销售、餐饮服务应当依法取得许可</w:t>
            </w:r>
          </w:p>
        </w:tc>
        <w:tc>
          <w:tcPr>
            <w:tcW w:w="2187" w:type="dxa"/>
            <w:noWrap w:val="0"/>
            <w:vAlign w:val="center"/>
          </w:tcPr>
          <w:p w14:paraId="0580C405">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一、未取得许可从事食品生产经营活动；</w:t>
            </w:r>
          </w:p>
          <w:p w14:paraId="6AD0CC2B">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二、食品生产经营时间超过许可证载明的有效期限；</w:t>
            </w:r>
          </w:p>
          <w:p w14:paraId="1ED7A8FF">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三、食品经营许可证载明的事项发生变化的，食品经营者未在变化后十个工作日内申请变更食品经营许可；</w:t>
            </w:r>
          </w:p>
          <w:p w14:paraId="15260F93">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四、食品经营者地址迁移，未重新申请食品经营许可；</w:t>
            </w:r>
          </w:p>
          <w:p w14:paraId="6BFC78CE">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五、伪造涂改、倒卖、出租、出借、转让食品生产经营许可证。</w:t>
            </w:r>
          </w:p>
        </w:tc>
        <w:tc>
          <w:tcPr>
            <w:tcW w:w="4750" w:type="dxa"/>
            <w:noWrap w:val="0"/>
            <w:vAlign w:val="top"/>
          </w:tcPr>
          <w:p w14:paraId="4376E2C2">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0E22DC9C">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第一百二十二条第一款 </w:t>
            </w:r>
            <w:r>
              <w:rPr>
                <w:rFonts w:hint="default" w:ascii="Times New Roman" w:hAnsi="Times New Roman" w:eastAsia="仿宋_GB2312" w:cs="Times New Roman"/>
                <w:color w:val="auto"/>
                <w:kern w:val="2"/>
                <w:sz w:val="24"/>
                <w:szCs w:val="24"/>
              </w:rPr>
              <w:t>违反本法规定，未取得食品生产经营许可从事食品生产经营活动，或者未取得食品添加剂生产许可从事食品添加剂生产活动的，由县级以上人民政府食品安全监督管理部门没收违法所得和违法生产经营的食品、食品添加剂以及用于违法生产经营的工具、设备、原料等物品；违法生产经营的食品、食品添加剂货值金额不足一万元的，并处五万元以上十万元以下罚款；货值金额一万元以上的，并处货值金额十倍以上二十倍以下罚款。</w:t>
            </w:r>
          </w:p>
          <w:p w14:paraId="49083B5C">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《食品经营许可和备案管理办法》</w:t>
            </w:r>
          </w:p>
          <w:p w14:paraId="38B72CA2">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第五十二条</w:t>
            </w:r>
            <w:r>
              <w:rPr>
                <w:rFonts w:ascii="Times New Roman" w:hAnsi="Times New Roman" w:eastAsia="仿宋_GB2312" w:cs="Times New Roman"/>
                <w:b/>
                <w:color w:val="auto"/>
                <w:kern w:val="2"/>
                <w:sz w:val="24"/>
                <w:szCs w:val="24"/>
              </w:rPr>
              <w:t xml:space="preserve"> </w:t>
            </w:r>
            <w:r>
              <w:rPr>
                <w:rFonts w:hint="default" w:ascii="Times New Roman" w:hAnsi="Times New Roman" w:eastAsia="仿宋_GB2312" w:cs="Times New Roman"/>
                <w:color w:val="auto"/>
                <w:kern w:val="2"/>
                <w:sz w:val="24"/>
                <w:szCs w:val="24"/>
              </w:rPr>
              <w:t>未取得食品经营许可从事食品经营活动的，由县级以上地方市场监督管理部门依照《中华人民共和国食品安全法》第一百二十二条的规定给予处罚。食品经营者地址迁移，不在原许可的经营场所从事食品经营活动，未按照规定重新申请食品经营许可的，或者食品经营许可有效期届满，未按照规定申请办理延续手续，仍继续从事食品经营活动的，由县级以上地方市场监督管理部门依照《中华人民共和国食品安全法》第一百二十二条的规定给予处罚。</w:t>
            </w:r>
          </w:p>
          <w:p w14:paraId="5F413143">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许可证载明的主体业态、经营项目等许可事项发生变化，食品经营者未按照规定申请变更的，由县级以上地方市场监督管理部门依照《中华人民共和国食品安全法》第一百二十二条的规定给予处罚。但是，有下列情形之一，依照《中华人民共和国行政处罚法》第三十二条、第三十三条的规定从轻、减轻或者不予行政处罚：</w:t>
            </w:r>
          </w:p>
          <w:p w14:paraId="693BC601">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（一）主体业态、经营项目发生变化，但食品安全风险等级未升高的；</w:t>
            </w:r>
          </w:p>
          <w:p w14:paraId="0B019DD8">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（二）增加经营项目类型，但增加的经营项目所需的经营条件被已经取得许可的经营项目涵盖的；</w:t>
            </w:r>
          </w:p>
          <w:p w14:paraId="4B622828">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（三）违法行为轻微，未对消费者人身健康和生命安全等造成危害后果的；</w:t>
            </w:r>
          </w:p>
          <w:p w14:paraId="56A0A479">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（四）法律、法规、规章规定的其他情形。</w:t>
            </w:r>
          </w:p>
          <w:p w14:paraId="2DCF83A1">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食品经营许可证载明的除许可事项以外的其他事项发生变化，食品经营者未按照规定申请变更的，由县级以上地方市场监督管理部门责令限期改正；逾期不改的，处一千元以上一万元以下罚款。</w:t>
            </w:r>
          </w:p>
          <w:p w14:paraId="238D8465">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《食品生产许可管理办法》</w:t>
            </w:r>
          </w:p>
          <w:p w14:paraId="1AF7507C">
            <w:pPr>
              <w:spacing w:line="280" w:lineRule="exact"/>
              <w:ind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第四十九条</w:t>
            </w:r>
            <w:r>
              <w:rPr>
                <w:rFonts w:ascii="Times New Roman" w:hAnsi="Times New Roman" w:eastAsia="仿宋_GB2312" w:cs="Times New Roman"/>
                <w:b/>
                <w:color w:val="auto"/>
                <w:kern w:val="2"/>
                <w:sz w:val="24"/>
                <w:szCs w:val="24"/>
              </w:rPr>
              <w:t xml:space="preserve"> </w:t>
            </w:r>
            <w:r>
              <w:rPr>
                <w:rFonts w:hint="default" w:ascii="Times New Roman" w:hAnsi="Times New Roman" w:eastAsia="仿宋_GB2312" w:cs="Times New Roman"/>
                <w:color w:val="auto"/>
                <w:kern w:val="2"/>
                <w:sz w:val="24"/>
                <w:szCs w:val="24"/>
              </w:rPr>
              <w:t>未取得食品生产许可从事食品生产活动的，由县级以上地方市场监督管理部门依照《中华人民共和国食品安全法》第一百二十二条的规定给予处罚。</w:t>
            </w:r>
          </w:p>
          <w:p w14:paraId="42977A1D">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食品生产者生产的食品不属于食品生产许可证上载明的食品类别的，视为未取得食品生产许可从事食品生产活动。</w:t>
            </w:r>
          </w:p>
        </w:tc>
        <w:tc>
          <w:tcPr>
            <w:tcW w:w="1196" w:type="dxa"/>
            <w:noWrap w:val="0"/>
            <w:vAlign w:val="center"/>
          </w:tcPr>
          <w:p w14:paraId="0979B5DB">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C5CD103">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从事食品生产、食品销售、餐饮服务，应依法取得许可，不得伪造、涂改、倒卖、出租、出借、转让许可证。销售食用农产品或仅销售预包装食品的，不需要取得食品经营许可证。仅销售预包装食品的，应报所在地市场监管部门备案。</w:t>
            </w:r>
          </w:p>
        </w:tc>
        <w:tc>
          <w:tcPr>
            <w:tcW w:w="1309" w:type="dxa"/>
            <w:noWrap w:val="0"/>
            <w:vAlign w:val="center"/>
          </w:tcPr>
          <w:p w14:paraId="2F561DC3">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63FE7A25">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19EF108A">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20DD3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A9AB0DC">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37</w:t>
            </w:r>
          </w:p>
        </w:tc>
        <w:tc>
          <w:tcPr>
            <w:tcW w:w="1706" w:type="dxa"/>
            <w:noWrap w:val="0"/>
            <w:vAlign w:val="center"/>
          </w:tcPr>
          <w:p w14:paraId="26223BEA">
            <w:pPr>
              <w:spacing w:line="280" w:lineRule="exact"/>
              <w:ind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生产经营的食品中不得添加药品</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按照传统既是食品又是中药材的物质</w:t>
            </w:r>
            <w:r>
              <w:rPr>
                <w:rFonts w:hint="default" w:ascii="Times New Roman" w:hAnsi="Times New Roman" w:eastAsia="仿宋_GB2312" w:cs="Times New Roman"/>
                <w:color w:val="auto"/>
                <w:kern w:val="2"/>
                <w:sz w:val="24"/>
                <w:szCs w:val="24"/>
              </w:rPr>
              <w:t>除外）</w:t>
            </w:r>
          </w:p>
        </w:tc>
        <w:tc>
          <w:tcPr>
            <w:tcW w:w="2187" w:type="dxa"/>
            <w:noWrap w:val="0"/>
            <w:vAlign w:val="center"/>
          </w:tcPr>
          <w:p w14:paraId="4489A7D1">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生产经营违法添加药品的食品。</w:t>
            </w:r>
          </w:p>
        </w:tc>
        <w:tc>
          <w:tcPr>
            <w:tcW w:w="4750" w:type="dxa"/>
            <w:noWrap w:val="0"/>
            <w:vAlign w:val="top"/>
          </w:tcPr>
          <w:p w14:paraId="6D82E21D">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5FE5F24C">
            <w:pPr>
              <w:spacing w:line="280" w:lineRule="exact"/>
              <w:ind w:firstLine="482"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第三十八条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生产经营的食品中不得添加药品，但是可以添加按照传统既是食品又是中药材的物质。按照传统既是食品又是中药材的物质目录由国务院卫生行政部门会同国务院食品安全监督管理部门制定、公布。</w:t>
            </w:r>
          </w:p>
          <w:p w14:paraId="20C1E336">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第一百二十三条</w:t>
            </w:r>
            <w:r>
              <w:rPr>
                <w:rFonts w:hint="default" w:ascii="Times New Roman" w:hAnsi="Times New Roman" w:eastAsia="仿宋_GB2312" w:cs="Times New Roman"/>
                <w:b/>
                <w:color w:val="auto"/>
                <w:kern w:val="2"/>
                <w:sz w:val="24"/>
                <w:szCs w:val="24"/>
              </w:rPr>
              <w:t>第一款第（六）项</w:t>
            </w:r>
            <w:r>
              <w:rPr>
                <w:rFonts w:ascii="Times New Roman" w:hAnsi="Times New Roman" w:eastAsia="仿宋_GB2312" w:cs="Times New Roman"/>
                <w:color w:val="auto"/>
                <w:kern w:val="2"/>
                <w:sz w:val="24"/>
                <w:szCs w:val="24"/>
              </w:rPr>
              <w:t>违反本法规定，有下列情形之一，尚不构成犯罪的，由县级以上人民政府食品安全监督管理部门没收违法所得和违法生产经营的食品，并可以没收用于违法生产经营的工具、设备、原料等物品；违法生产经营的食品货值金额不足一万元的，并处十万元以上十五万元以下罚款；货值金额一万元以上的，并处货值金额十五倍以上三十倍以下罚款；情节严重的，吊销许可证，并可以由公安机关对其直接负责的主管人员和其他直接责任人员处五日以上十五日以下拘留：</w:t>
            </w:r>
          </w:p>
          <w:p w14:paraId="65EDC7A9">
            <w:pPr>
              <w:spacing w:line="280" w:lineRule="exact"/>
              <w:ind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（六）生产经营添加药品的食品。</w:t>
            </w:r>
          </w:p>
        </w:tc>
        <w:tc>
          <w:tcPr>
            <w:tcW w:w="1196" w:type="dxa"/>
            <w:noWrap w:val="0"/>
            <w:vAlign w:val="center"/>
          </w:tcPr>
          <w:p w14:paraId="00285122">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2385E77">
            <w:pPr>
              <w:spacing w:line="280" w:lineRule="exact"/>
              <w:ind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食品生产经营者应按照传统既是食品又是中药材的物质目录对食品进行甄别，不得生产经营添加药品的食品。</w:t>
            </w:r>
          </w:p>
        </w:tc>
        <w:tc>
          <w:tcPr>
            <w:tcW w:w="1309" w:type="dxa"/>
            <w:noWrap w:val="0"/>
            <w:vAlign w:val="center"/>
          </w:tcPr>
          <w:p w14:paraId="6540E343">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6C92A4D7">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6A605FD4">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069D0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10F41DF">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38</w:t>
            </w:r>
          </w:p>
        </w:tc>
        <w:tc>
          <w:tcPr>
            <w:tcW w:w="1706" w:type="dxa"/>
            <w:noWrap w:val="0"/>
            <w:vAlign w:val="center"/>
          </w:tcPr>
          <w:p w14:paraId="625211B8">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不得生产经营有害物质超标的食品、食品添加剂、食品相关产品</w:t>
            </w:r>
          </w:p>
        </w:tc>
        <w:tc>
          <w:tcPr>
            <w:tcW w:w="2187" w:type="dxa"/>
            <w:noWrap w:val="0"/>
            <w:vAlign w:val="center"/>
          </w:tcPr>
          <w:p w14:paraId="76C92DE3">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经营的食品经过抽检致病性微生物农药残留、兽药残留、生物毒素、重金属等污染物质及其他危害人体健康物质含量超过食品安全标准限</w:t>
            </w:r>
          </w:p>
        </w:tc>
        <w:tc>
          <w:tcPr>
            <w:tcW w:w="4750" w:type="dxa"/>
            <w:noWrap w:val="0"/>
            <w:vAlign w:val="top"/>
          </w:tcPr>
          <w:p w14:paraId="1F6CFA46">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7390764E">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第三十四条</w:t>
            </w:r>
            <w:r>
              <w:rPr>
                <w:rFonts w:hint="default" w:ascii="Times New Roman" w:hAnsi="Times New Roman" w:eastAsia="仿宋_GB2312" w:cs="Times New Roman"/>
                <w:b/>
                <w:color w:val="auto"/>
                <w:kern w:val="2"/>
                <w:sz w:val="24"/>
                <w:szCs w:val="24"/>
              </w:rPr>
              <w:t xml:space="preserve">第一款第（二）项 </w:t>
            </w:r>
            <w:r>
              <w:rPr>
                <w:rFonts w:ascii="Times New Roman" w:hAnsi="Times New Roman" w:eastAsia="仿宋_GB2312" w:cs="Times New Roman"/>
                <w:color w:val="auto"/>
                <w:kern w:val="2"/>
                <w:sz w:val="24"/>
                <w:szCs w:val="24"/>
              </w:rPr>
              <w:t>禁止生产经营下列食品、食品添加剂、食品相关产品：</w:t>
            </w:r>
          </w:p>
          <w:p w14:paraId="01646CE9">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（二）致病性微生物，农药残留、兽药残留、生物毒素、重金属等污染物质以及其他危害人体健康的物质含量超过食品安全标准限量的食品、食品添加剂、食品相关产品；</w:t>
            </w:r>
          </w:p>
          <w:p w14:paraId="29EB18D1">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第一百二十四条</w:t>
            </w:r>
            <w:r>
              <w:rPr>
                <w:rFonts w:hint="default" w:ascii="Times New Roman" w:hAnsi="Times New Roman" w:eastAsia="仿宋_GB2312" w:cs="Times New Roman"/>
                <w:b/>
                <w:color w:val="auto"/>
                <w:kern w:val="2"/>
                <w:sz w:val="24"/>
                <w:szCs w:val="24"/>
              </w:rPr>
              <w:t>第一款第（一）项</w:t>
            </w:r>
            <w:r>
              <w:rPr>
                <w:rFonts w:hint="default" w:ascii="Times New Roman" w:hAnsi="Times New Roman" w:eastAsia="仿宋_GB2312" w:cs="Times New Roman"/>
                <w:color w:val="auto"/>
                <w:kern w:val="2"/>
                <w:sz w:val="24"/>
                <w:szCs w:val="24"/>
              </w:rPr>
              <w:t xml:space="preserve"> </w:t>
            </w:r>
            <w:r>
              <w:rPr>
                <w:rFonts w:ascii="Times New Roman" w:hAnsi="Times New Roman" w:eastAsia="仿宋_GB2312" w:cs="Times New Roman"/>
                <w:color w:val="auto"/>
                <w:kern w:val="2"/>
                <w:sz w:val="24"/>
                <w:szCs w:val="24"/>
              </w:rPr>
              <w:t>违反本法规定，有下列情形之一，尚不构成犯罪的，由县级以上人民政府食品安全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w:t>
            </w:r>
          </w:p>
          <w:p w14:paraId="396FA1B5">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（一）生产经营致病性微生物，农药残留、兽药残留、生物毒素、重金属等污染物质以及其他危害人体健康的物质含量超过食品安全标准限量的食品、食品添加剂；</w:t>
            </w:r>
          </w:p>
        </w:tc>
        <w:tc>
          <w:tcPr>
            <w:tcW w:w="1196" w:type="dxa"/>
            <w:noWrap w:val="0"/>
            <w:vAlign w:val="center"/>
          </w:tcPr>
          <w:p w14:paraId="2A0BE1C7">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3CDF2BB4">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一、食品、食品添加剂、食品相关产品的生产企业应严格按照生产工艺要求生产，做好关键控制点记录；</w:t>
            </w:r>
          </w:p>
          <w:p w14:paraId="544B3CCA">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食品、食品添加剂、食品相关产品的生产者具备与所检项目适应的检验室和检验能力的，检验仪器设备需按期检定；不能自检的，需委托有资质的检验机构进行检验；食品、食品添加剂、食品相关产品出厂检验合格后方能出厂。</w:t>
            </w:r>
          </w:p>
          <w:p w14:paraId="1EB83A05">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三、食品经营者应严格履行进货查验义务，重点查验供货者的资质及食品相关合格证明。严格落实全过程食品安全管理，采取有效措施，避免交叉污染。</w:t>
            </w:r>
          </w:p>
        </w:tc>
        <w:tc>
          <w:tcPr>
            <w:tcW w:w="1309" w:type="dxa"/>
            <w:noWrap w:val="0"/>
            <w:vAlign w:val="center"/>
          </w:tcPr>
          <w:p w14:paraId="05935ECA">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4069406A">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1D25EE6F">
            <w:pPr>
              <w:spacing w:line="280" w:lineRule="exact"/>
              <w:jc w:val="center"/>
              <w:rPr>
                <w:rFonts w:ascii="Times New Roman" w:hAnsi="Times New Roman" w:eastAsia="仿宋_GB2312" w:cs="Times New Roman"/>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17164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86D9C7A">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39</w:t>
            </w:r>
          </w:p>
        </w:tc>
        <w:tc>
          <w:tcPr>
            <w:tcW w:w="1706" w:type="dxa"/>
            <w:noWrap w:val="0"/>
            <w:vAlign w:val="center"/>
          </w:tcPr>
          <w:p w14:paraId="62EF7A66">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w:t>
            </w:r>
            <w:r>
              <w:rPr>
                <w:rFonts w:ascii="Times New Roman" w:hAnsi="Times New Roman" w:eastAsia="仿宋_GB2312" w:cs="Times New Roman"/>
                <w:color w:val="auto"/>
                <w:kern w:val="2"/>
                <w:sz w:val="24"/>
                <w:szCs w:val="24"/>
              </w:rPr>
              <w:t>生产经营标注虚假生产日期、保质期或者超过保质期的食品、食品添加剂</w:t>
            </w:r>
          </w:p>
        </w:tc>
        <w:tc>
          <w:tcPr>
            <w:tcW w:w="2187" w:type="dxa"/>
            <w:noWrap w:val="0"/>
            <w:vAlign w:val="center"/>
          </w:tcPr>
          <w:p w14:paraId="072DF516">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生产经营</w:t>
            </w:r>
            <w:r>
              <w:rPr>
                <w:rFonts w:ascii="Times New Roman" w:hAnsi="Times New Roman" w:eastAsia="仿宋_GB2312" w:cs="Times New Roman"/>
                <w:color w:val="auto"/>
                <w:kern w:val="2"/>
                <w:sz w:val="24"/>
                <w:szCs w:val="24"/>
              </w:rPr>
              <w:t>标注虚假生产日期、保质期或者超过保质期的食品、食品添加剂</w:t>
            </w:r>
            <w:r>
              <w:rPr>
                <w:rFonts w:hint="default" w:ascii="Times New Roman" w:hAnsi="Times New Roman" w:eastAsia="仿宋_GB2312" w:cs="Times New Roman"/>
                <w:color w:val="auto"/>
                <w:kern w:val="2"/>
                <w:sz w:val="24"/>
                <w:szCs w:val="24"/>
              </w:rPr>
              <w:t>。</w:t>
            </w:r>
          </w:p>
        </w:tc>
        <w:tc>
          <w:tcPr>
            <w:tcW w:w="4750" w:type="dxa"/>
            <w:noWrap w:val="0"/>
            <w:vAlign w:val="top"/>
          </w:tcPr>
          <w:p w14:paraId="216C2077">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6D5268A0">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第三十四条</w:t>
            </w:r>
            <w:r>
              <w:rPr>
                <w:rFonts w:hint="default" w:ascii="Times New Roman" w:hAnsi="Times New Roman" w:eastAsia="仿宋_GB2312" w:cs="Times New Roman"/>
                <w:b/>
                <w:color w:val="auto"/>
                <w:kern w:val="2"/>
                <w:sz w:val="24"/>
                <w:szCs w:val="24"/>
              </w:rPr>
              <w:t xml:space="preserve">第一款第（十）项 </w:t>
            </w:r>
            <w:r>
              <w:rPr>
                <w:rFonts w:ascii="Times New Roman" w:hAnsi="Times New Roman" w:eastAsia="仿宋_GB2312" w:cs="Times New Roman"/>
                <w:color w:val="auto"/>
                <w:kern w:val="2"/>
                <w:sz w:val="24"/>
                <w:szCs w:val="24"/>
              </w:rPr>
              <w:t>禁止生产经营下列食品、食品添加剂、食品相关产品：</w:t>
            </w:r>
          </w:p>
          <w:p w14:paraId="22EE1CBF">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（十）标注虚假生产日期、保质期或者超过保质期的食品、食品添加剂；</w:t>
            </w:r>
          </w:p>
          <w:p w14:paraId="198B6627">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第一百二十四条</w:t>
            </w:r>
            <w:r>
              <w:rPr>
                <w:rFonts w:hint="default" w:ascii="Times New Roman" w:hAnsi="Times New Roman" w:eastAsia="仿宋_GB2312" w:cs="Times New Roman"/>
                <w:b/>
                <w:color w:val="auto"/>
                <w:kern w:val="2"/>
                <w:sz w:val="24"/>
                <w:szCs w:val="24"/>
              </w:rPr>
              <w:t>第一款第（五）项</w:t>
            </w:r>
            <w:r>
              <w:rPr>
                <w:rFonts w:hint="default" w:ascii="Times New Roman" w:hAnsi="Times New Roman" w:eastAsia="仿宋_GB2312" w:cs="Times New Roman"/>
                <w:color w:val="auto"/>
                <w:kern w:val="2"/>
                <w:sz w:val="24"/>
                <w:szCs w:val="24"/>
              </w:rPr>
              <w:t xml:space="preserve"> </w:t>
            </w:r>
            <w:r>
              <w:rPr>
                <w:rFonts w:ascii="Times New Roman" w:hAnsi="Times New Roman" w:eastAsia="仿宋_GB2312" w:cs="Times New Roman"/>
                <w:color w:val="auto"/>
                <w:kern w:val="2"/>
                <w:sz w:val="24"/>
                <w:szCs w:val="24"/>
              </w:rPr>
              <w:t>违反本法规定，有下列情形之一，尚不构成犯罪的，由县级以上人民政府食品安全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w:t>
            </w:r>
          </w:p>
          <w:p w14:paraId="312ADF8A">
            <w:pPr>
              <w:spacing w:line="280" w:lineRule="exact"/>
              <w:ind w:left="150" w:leftChars="50" w:firstLine="360" w:firstLineChars="150"/>
              <w:rPr>
                <w:rFonts w:hint="default" w:ascii="Times New Roman" w:hAnsi="Times New Roman" w:eastAsia="方正仿宋_GBK" w:cs="Times New Roman"/>
                <w:sz w:val="24"/>
                <w:szCs w:val="24"/>
              </w:rPr>
            </w:pPr>
            <w:r>
              <w:rPr>
                <w:rFonts w:ascii="Times New Roman" w:hAnsi="Times New Roman" w:eastAsia="仿宋_GB2312" w:cs="Times New Roman"/>
                <w:color w:val="auto"/>
                <w:kern w:val="2"/>
                <w:sz w:val="24"/>
                <w:szCs w:val="24"/>
              </w:rPr>
              <w:t>（五）生产经营标注虚假生产日期、保质期或者超过保质期的食品、食品添加剂；</w:t>
            </w:r>
          </w:p>
        </w:tc>
        <w:tc>
          <w:tcPr>
            <w:tcW w:w="1196" w:type="dxa"/>
            <w:noWrap w:val="0"/>
            <w:vAlign w:val="center"/>
          </w:tcPr>
          <w:p w14:paraId="43FD33C0">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A1C323B">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食品经营者应当定期检查库存食品，设置临保商品销售专区专柜，及时清理下架超过保质期的的食品；不得伪造、篡改食品生产日期。</w:t>
            </w:r>
          </w:p>
        </w:tc>
        <w:tc>
          <w:tcPr>
            <w:tcW w:w="1309" w:type="dxa"/>
            <w:noWrap w:val="0"/>
            <w:vAlign w:val="center"/>
          </w:tcPr>
          <w:p w14:paraId="3F7F2B1D">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60DA00A8">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1BEF37D9">
            <w:pPr>
              <w:spacing w:line="280" w:lineRule="exact"/>
              <w:jc w:val="center"/>
              <w:rPr>
                <w:rFonts w:ascii="Times New Roman" w:hAnsi="Times New Roman" w:eastAsia="仿宋_GB2312" w:cs="Times New Roman"/>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0C4CD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C651E54">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40</w:t>
            </w:r>
          </w:p>
        </w:tc>
        <w:tc>
          <w:tcPr>
            <w:tcW w:w="1706" w:type="dxa"/>
            <w:noWrap w:val="0"/>
            <w:vAlign w:val="center"/>
          </w:tcPr>
          <w:p w14:paraId="13ED5614">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不得生产经营超范围、超限量使用食品添加剂的食品</w:t>
            </w:r>
          </w:p>
        </w:tc>
        <w:tc>
          <w:tcPr>
            <w:tcW w:w="2187" w:type="dxa"/>
            <w:noWrap w:val="0"/>
            <w:vAlign w:val="center"/>
          </w:tcPr>
          <w:p w14:paraId="2DFFDD75">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生产经营超范围、超限量使用食品添加剂的食品。</w:t>
            </w:r>
          </w:p>
        </w:tc>
        <w:tc>
          <w:tcPr>
            <w:tcW w:w="4750" w:type="dxa"/>
            <w:noWrap w:val="0"/>
            <w:vAlign w:val="top"/>
          </w:tcPr>
          <w:p w14:paraId="5C1D3EDB">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40A9AF48">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第三十四条</w:t>
            </w:r>
            <w:r>
              <w:rPr>
                <w:rFonts w:hint="default" w:ascii="Times New Roman" w:hAnsi="Times New Roman" w:eastAsia="仿宋_GB2312" w:cs="Times New Roman"/>
                <w:b/>
                <w:color w:val="auto"/>
                <w:kern w:val="2"/>
                <w:sz w:val="24"/>
                <w:szCs w:val="24"/>
              </w:rPr>
              <w:t xml:space="preserve">第一款第（四）项 </w:t>
            </w:r>
            <w:r>
              <w:rPr>
                <w:rFonts w:ascii="Times New Roman" w:hAnsi="Times New Roman" w:eastAsia="仿宋_GB2312" w:cs="Times New Roman"/>
                <w:color w:val="auto"/>
                <w:kern w:val="2"/>
                <w:sz w:val="24"/>
                <w:szCs w:val="24"/>
              </w:rPr>
              <w:t>禁止生产经营下列食品、食品添加剂、食品相关产品：</w:t>
            </w:r>
          </w:p>
          <w:p w14:paraId="6C595FA7">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（四）超范围、超限量使用食品添加剂的食品；</w:t>
            </w:r>
          </w:p>
          <w:p w14:paraId="3E0F2AA9">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第一百二十四条</w:t>
            </w:r>
            <w:r>
              <w:rPr>
                <w:rFonts w:hint="default" w:ascii="Times New Roman" w:hAnsi="Times New Roman" w:eastAsia="仿宋_GB2312" w:cs="Times New Roman"/>
                <w:b/>
                <w:color w:val="auto"/>
                <w:kern w:val="2"/>
                <w:sz w:val="24"/>
                <w:szCs w:val="24"/>
              </w:rPr>
              <w:t>第一款第（三）项</w:t>
            </w:r>
            <w:r>
              <w:rPr>
                <w:rFonts w:hint="default" w:ascii="Times New Roman" w:hAnsi="Times New Roman" w:eastAsia="仿宋_GB2312" w:cs="Times New Roman"/>
                <w:color w:val="auto"/>
                <w:kern w:val="2"/>
                <w:sz w:val="24"/>
                <w:szCs w:val="24"/>
              </w:rPr>
              <w:t xml:space="preserve"> </w:t>
            </w:r>
            <w:r>
              <w:rPr>
                <w:rFonts w:ascii="Times New Roman" w:hAnsi="Times New Roman" w:eastAsia="仿宋_GB2312" w:cs="Times New Roman"/>
                <w:color w:val="auto"/>
                <w:kern w:val="2"/>
                <w:sz w:val="24"/>
                <w:szCs w:val="24"/>
              </w:rPr>
              <w:t>违反本法规定，有下列情形之一，尚不构成犯罪的，由县级以上人民政府食品安全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w:t>
            </w:r>
          </w:p>
          <w:p w14:paraId="1AE838EF">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（三）生产经营超范围、超限量使用食品添加剂的食品；</w:t>
            </w:r>
          </w:p>
        </w:tc>
        <w:tc>
          <w:tcPr>
            <w:tcW w:w="1196" w:type="dxa"/>
            <w:noWrap w:val="0"/>
            <w:vAlign w:val="center"/>
          </w:tcPr>
          <w:p w14:paraId="3388EAD3">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1EC4FC73">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不得生产经营超范围、超限量使用食品添加剂的食品。</w:t>
            </w:r>
          </w:p>
        </w:tc>
        <w:tc>
          <w:tcPr>
            <w:tcW w:w="1309" w:type="dxa"/>
            <w:noWrap w:val="0"/>
            <w:vAlign w:val="center"/>
          </w:tcPr>
          <w:p w14:paraId="204713B2">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45904C7E">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4724C228">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1205A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9540E81">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41</w:t>
            </w:r>
          </w:p>
        </w:tc>
        <w:tc>
          <w:tcPr>
            <w:tcW w:w="1706" w:type="dxa"/>
            <w:noWrap w:val="0"/>
            <w:vAlign w:val="center"/>
          </w:tcPr>
          <w:p w14:paraId="5A089B68">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经营的食品、添加剂标签应当符合规定</w:t>
            </w:r>
          </w:p>
        </w:tc>
        <w:tc>
          <w:tcPr>
            <w:tcW w:w="2187" w:type="dxa"/>
            <w:noWrap w:val="0"/>
            <w:vAlign w:val="center"/>
          </w:tcPr>
          <w:p w14:paraId="7405E206">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经营标签不符合《中华人民共和国食品安全法》规定的食品、食品添加剂。进口的预包装食品、食品添加剂无中文标签或标签、说明书不符合《中华人民共和国食品安全法》规定。</w:t>
            </w:r>
          </w:p>
        </w:tc>
        <w:tc>
          <w:tcPr>
            <w:tcW w:w="4750" w:type="dxa"/>
            <w:noWrap w:val="0"/>
            <w:vAlign w:val="top"/>
          </w:tcPr>
          <w:p w14:paraId="16319FFE">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59A15752">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第六十七条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预包装食品的包装上应当有标签。标签应当标明下列事项：</w:t>
            </w:r>
          </w:p>
          <w:p w14:paraId="45A5238D">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（一）名称、规格、净含量、生产日期；</w:t>
            </w:r>
          </w:p>
          <w:p w14:paraId="5E5B1503">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（二）成分或者配料表；</w:t>
            </w:r>
          </w:p>
          <w:p w14:paraId="53B1E144">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（三）生产者的名称、地址、联系方式；</w:t>
            </w:r>
          </w:p>
          <w:p w14:paraId="6E6A3192">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（四）保质期；</w:t>
            </w:r>
          </w:p>
          <w:p w14:paraId="3F5D61DF">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（五）产品标准代号；</w:t>
            </w:r>
          </w:p>
          <w:p w14:paraId="496F6FAA">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（六）贮存条件；</w:t>
            </w:r>
          </w:p>
          <w:p w14:paraId="375B9D3B">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（七）所使用的食品添加剂在国家标准中的通用名称；</w:t>
            </w:r>
          </w:p>
          <w:p w14:paraId="3116B17F">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（八）生产许可证编号；</w:t>
            </w:r>
          </w:p>
          <w:p w14:paraId="0FE27505">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（九）法律、法规或者食品安全标准规定应当标明的其他事项。</w:t>
            </w:r>
          </w:p>
          <w:p w14:paraId="0ED4D162">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专供婴幼儿和其他特定人群的主辅食品，其标签还应当标明主要营养成分及其含量。</w:t>
            </w:r>
          </w:p>
          <w:p w14:paraId="25A9F8F3">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食品安全国家标准对标签标注事项另有规定的，从其规定。</w:t>
            </w:r>
          </w:p>
          <w:p w14:paraId="604A0221">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第七十条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食品添加剂应当有标签、说明书和包装。标签、说明书应当载明本法第六十七条第一款第一项至第六项、第八项、第九项规定的事项，以及食品添加剂的使用范围、用量、使用方法，并在标签上载明“食品添加剂”字样。</w:t>
            </w:r>
          </w:p>
          <w:p w14:paraId="420C228A">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第九十七条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进口的预包装食品、食品添加剂应当有中文标签；依法应当有说明书的，还应当有中文说明书。标签、说明书应当符合本法以及我国其他有关法律、行政法规的规定和食品安全国家标准的要求，并载明食品的原产地以及境内代理商的名称、地址、联系方式。预包装食品没有中文标签、中文说明书或者标签、说明书不符合本条规定的，不得进口。</w:t>
            </w:r>
          </w:p>
          <w:p w14:paraId="14211C5F">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第一百二十五条</w:t>
            </w:r>
            <w:r>
              <w:rPr>
                <w:rFonts w:hint="default" w:ascii="Times New Roman" w:hAnsi="Times New Roman" w:eastAsia="仿宋_GB2312" w:cs="Times New Roman"/>
                <w:b/>
                <w:color w:val="auto"/>
                <w:kern w:val="2"/>
                <w:sz w:val="24"/>
                <w:szCs w:val="24"/>
              </w:rPr>
              <w:t xml:space="preserve">第一款第（二）项 </w:t>
            </w:r>
            <w:r>
              <w:rPr>
                <w:rFonts w:ascii="Times New Roman" w:hAnsi="Times New Roman" w:eastAsia="仿宋_GB2312" w:cs="Times New Roman"/>
                <w:color w:val="auto"/>
                <w:kern w:val="2"/>
                <w:sz w:val="24"/>
                <w:szCs w:val="24"/>
              </w:rPr>
              <w:t>违反本法规定，有下列情形之一的，由县级以上人民政府食品安全监督管理部门没收违法所得和违法生产经营的食品、食品添加剂，并可以没收用于违法生产经营的工具、设备、原料等物品；违法生产经营的食品、食品添加剂货值金额不足一万元的，并处五千元以上五万元以下罚款；货值金额一万元以上的，并处货值金额五倍以上十倍以下罚款；情节严重的，责令停产停业，直至吊销许可证：</w:t>
            </w:r>
          </w:p>
          <w:p w14:paraId="6438C024">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（二）生产经营无标签的预包装食品、食品添加剂或者标签、说明书不符合本法规定的食品、食品添加剂；</w:t>
            </w:r>
          </w:p>
        </w:tc>
        <w:tc>
          <w:tcPr>
            <w:tcW w:w="1196" w:type="dxa"/>
            <w:noWrap w:val="0"/>
            <w:vAlign w:val="center"/>
          </w:tcPr>
          <w:p w14:paraId="19ED2671">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F91A2AF">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 xml:space="preserve">一、预包装食品、食品添加剂包装上应当有标签，标签应当符合规定； </w:t>
            </w:r>
          </w:p>
          <w:p w14:paraId="58BCCF78">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进口的预包装食品、食品添加剂应当有中文标签；依法应当有说明书的，还应当有中文说明书。标签、说明书应当标示原产国国名或地区区名，以及在中国依法登记注册的代理商、进口商或经销者的名称、地址和联系方式；</w:t>
            </w:r>
          </w:p>
          <w:p w14:paraId="4AAB9973">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w:t>
            </w:r>
            <w:r>
              <w:rPr>
                <w:rFonts w:ascii="Times New Roman" w:hAnsi="Times New Roman" w:eastAsia="仿宋_GB2312" w:cs="Times New Roman"/>
                <w:color w:val="auto"/>
                <w:kern w:val="2"/>
                <w:sz w:val="24"/>
                <w:szCs w:val="24"/>
              </w:rPr>
              <w:t>.</w:t>
            </w:r>
            <w:r>
              <w:rPr>
                <w:rFonts w:hint="default" w:ascii="Times New Roman" w:hAnsi="Times New Roman" w:eastAsia="仿宋_GB2312" w:cs="Times New Roman"/>
                <w:color w:val="auto"/>
                <w:kern w:val="2"/>
                <w:sz w:val="24"/>
                <w:szCs w:val="24"/>
              </w:rPr>
              <w:t>标签、说明书应当清楚、醒目、持久，使消费者购买时易于辨认和识读。</w:t>
            </w:r>
          </w:p>
        </w:tc>
        <w:tc>
          <w:tcPr>
            <w:tcW w:w="1309" w:type="dxa"/>
            <w:noWrap w:val="0"/>
            <w:vAlign w:val="center"/>
          </w:tcPr>
          <w:p w14:paraId="0965D08D">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638BA402">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327A70F0">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31A1C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DDACDD1">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42</w:t>
            </w:r>
          </w:p>
        </w:tc>
        <w:tc>
          <w:tcPr>
            <w:tcW w:w="1706" w:type="dxa"/>
            <w:noWrap w:val="0"/>
            <w:vAlign w:val="center"/>
          </w:tcPr>
          <w:p w14:paraId="646DB671">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食品经营者应当履行进货查验义务</w:t>
            </w:r>
          </w:p>
        </w:tc>
        <w:tc>
          <w:tcPr>
            <w:tcW w:w="2187" w:type="dxa"/>
            <w:noWrap w:val="0"/>
            <w:vAlign w:val="center"/>
          </w:tcPr>
          <w:p w14:paraId="2028CF12">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一、食品经营者未建立食品进货查验记录制度，或记录和凭证保存期限少于产品保质期满后六个月，没有明确保质期的保存期限少于二年。</w:t>
            </w:r>
          </w:p>
          <w:p w14:paraId="1ADE7F81">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二、食品添加剂经营者未建立食品添加剂进货查验记录制度，或记录和凭证保存期限少于产品保质期满后六个月，没有明确保质期的保存期限少于二年。</w:t>
            </w:r>
          </w:p>
        </w:tc>
        <w:tc>
          <w:tcPr>
            <w:tcW w:w="4750" w:type="dxa"/>
            <w:noWrap w:val="0"/>
            <w:vAlign w:val="top"/>
          </w:tcPr>
          <w:p w14:paraId="6DCAAEA0">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366C6E19">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第五十三条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品经营者采购食品，应当查验供货者的许可证和食品出厂检验合格证或者其他合格证明（以下称合格证明文件）。</w:t>
            </w:r>
          </w:p>
          <w:p w14:paraId="1B15BD54">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食品经营企业应当建立食品进货查验记录制度，如实记录食品的名称、规格、数量、生产日期或者生产批号、保质期、进货日期以及供货者名称、地址、联系方式等内容，并保存相关凭证。记录和凭证保存期限应当符合本法第五十条第二款的规定。</w:t>
            </w:r>
          </w:p>
          <w:p w14:paraId="5E419C87">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实行统一配送经营方式的食品经营企业，可以由企业总部统一查验供货者的许可证和食品合格证明文件，进行食品进货查验记录。</w:t>
            </w:r>
          </w:p>
          <w:p w14:paraId="312870DB">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食品批发业务的经营企业应当建立食品销售记录制度，如实记录批发食品的名称、规格、数量、生产日期或者生产批号、保质期、销售日期以及购货者名称、地址、联系方式等内容，并保存相关凭证。记录和凭证保存期限应当符合本法第五十条第二款的规定。</w:t>
            </w:r>
          </w:p>
          <w:p w14:paraId="20F4F064">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第六十条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品添加剂经营者采购食品添加剂，应当依法查验供货者的许可证和产品合格证明文件，如实记录食品添加剂的名称、规格、数量、生产日期或者生产批号、保质期、进货日期以及供货者名称、地址、联系方式等内容，并保存相关凭证。记录和凭证保存期限应当符合本法第五十条第二款的规定。</w:t>
            </w:r>
          </w:p>
          <w:p w14:paraId="28D76341">
            <w:pPr>
              <w:spacing w:line="280" w:lineRule="exact"/>
              <w:ind w:left="150" w:leftChars="50" w:firstLine="361"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第一百二十六条</w:t>
            </w:r>
            <w:r>
              <w:rPr>
                <w:rFonts w:hint="default" w:ascii="Times New Roman" w:hAnsi="Times New Roman" w:eastAsia="仿宋_GB2312" w:cs="Times New Roman"/>
                <w:b/>
                <w:color w:val="auto"/>
                <w:kern w:val="2"/>
                <w:sz w:val="24"/>
                <w:szCs w:val="24"/>
              </w:rPr>
              <w:t xml:space="preserve">第一款第（三）项 </w:t>
            </w:r>
            <w:r>
              <w:rPr>
                <w:rFonts w:hint="default" w:ascii="Times New Roman" w:hAnsi="Times New Roman" w:eastAsia="仿宋_GB2312" w:cs="Times New Roman"/>
                <w:color w:val="auto"/>
                <w:kern w:val="2"/>
                <w:sz w:val="24"/>
                <w:szCs w:val="24"/>
              </w:rPr>
              <w:t>违</w:t>
            </w:r>
            <w:r>
              <w:rPr>
                <w:rFonts w:ascii="Times New Roman" w:hAnsi="Times New Roman" w:eastAsia="仿宋_GB2312" w:cs="Times New Roman"/>
                <w:color w:val="auto"/>
                <w:kern w:val="2"/>
                <w:sz w:val="24"/>
                <w:szCs w:val="24"/>
              </w:rPr>
              <w:t>反本法规定，有下列情形之一的，由县级以上人民政府食品安全监督管理部门责令改正，给予警告；拒不改正的，处五千元以上五万元以下罚款；情节严重的，责令停产停业，直至吊销许可证：</w:t>
            </w:r>
          </w:p>
          <w:p w14:paraId="44C6BBAB">
            <w:pPr>
              <w:spacing w:line="280" w:lineRule="exact"/>
              <w:ind w:left="150" w:leftChars="50" w:firstLine="360" w:firstLineChars="15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（三）食品、食品添加剂生产经营者进货时未查验许可证和相关证明文件，或者未按规定建立并遵守进货查验记录、出厂检验记录和销售记录制度；</w:t>
            </w:r>
          </w:p>
        </w:tc>
        <w:tc>
          <w:tcPr>
            <w:tcW w:w="1196" w:type="dxa"/>
            <w:noWrap w:val="0"/>
            <w:vAlign w:val="center"/>
          </w:tcPr>
          <w:p w14:paraId="127AE128">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ADEC491">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一、食品生产经营者应查验供货者的许可证和食品出厂检验合格证或者其他合格证明；</w:t>
            </w:r>
          </w:p>
          <w:p w14:paraId="254272E3">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食品生产经营企业应建立食品进货查验记录制度，明确进货查验的方式、内容、项目、负责人、记录方式内容、相关记录和凭证保存等要求；记录和凭证保存期限不得少于产品保质期满后六个月；没有明确保质期的，保存期限不得少于二年（从进货日起计）。进货查验资料应当及时更新。许可证、合格证明文件等相关资料应在有效期内。</w:t>
            </w:r>
          </w:p>
        </w:tc>
        <w:tc>
          <w:tcPr>
            <w:tcW w:w="1309" w:type="dxa"/>
            <w:noWrap w:val="0"/>
            <w:vAlign w:val="center"/>
          </w:tcPr>
          <w:p w14:paraId="49429F90">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027D328C">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2BB36ED1">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59F32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294ACC7">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43</w:t>
            </w:r>
          </w:p>
        </w:tc>
        <w:tc>
          <w:tcPr>
            <w:tcW w:w="1706" w:type="dxa"/>
            <w:noWrap w:val="0"/>
            <w:vAlign w:val="center"/>
          </w:tcPr>
          <w:p w14:paraId="33813F03">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食品生产经营者应当建立食品安全自查制度</w:t>
            </w:r>
          </w:p>
        </w:tc>
        <w:tc>
          <w:tcPr>
            <w:tcW w:w="2187" w:type="dxa"/>
            <w:noWrap w:val="0"/>
            <w:vAlign w:val="center"/>
          </w:tcPr>
          <w:p w14:paraId="7240F5C6">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食品生产经营者未建立食品安全自查制度并定期对食品安全状况进行检查评价，或经营条件发生变化未按规定处理。</w:t>
            </w:r>
          </w:p>
        </w:tc>
        <w:tc>
          <w:tcPr>
            <w:tcW w:w="4750" w:type="dxa"/>
            <w:noWrap w:val="0"/>
            <w:vAlign w:val="top"/>
          </w:tcPr>
          <w:p w14:paraId="5B9E3A03">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38922F5C">
            <w:pPr>
              <w:spacing w:line="280" w:lineRule="exact"/>
              <w:ind w:left="150" w:leftChars="50" w:firstLine="361"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第四十七条 </w:t>
            </w:r>
            <w:r>
              <w:rPr>
                <w:rFonts w:hint="default" w:ascii="Times New Roman" w:hAnsi="Times New Roman" w:eastAsia="仿宋_GB2312" w:cs="Times New Roman"/>
                <w:color w:val="auto"/>
                <w:kern w:val="2"/>
                <w:sz w:val="24"/>
                <w:szCs w:val="24"/>
              </w:rPr>
              <w:t>食品生产经营者应当建立食品安全自查制度，定期对食品安全状况进行检查评价。生产经营条件发生变化，不再符合食品安全要求的，食品生产经营者应当立即采取整改措施；有发生食品安全事故潜在风险的，应当立即停止食品生产经营活动，并向所在地县级人民政府食品安全监督管理部门报告。</w:t>
            </w:r>
          </w:p>
          <w:p w14:paraId="3EEFF4E7">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第一百二十六条第一款第（十一）项 违反本法规定，有下列情形之一的，由县级以上人民政府食品安全监督管理部门责令改正，给予警告；拒不改正的，处五千元以上五万元以下罚款；情节严重的，责令停产停业，直至吊销许可证：</w:t>
            </w:r>
          </w:p>
          <w:p w14:paraId="1B8865F2">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（十一）食品生产经营者未定期对食品安全状况进行检查评价，或者生产经营条件发生变化，未按规定处理。</w:t>
            </w:r>
          </w:p>
        </w:tc>
        <w:tc>
          <w:tcPr>
            <w:tcW w:w="1196" w:type="dxa"/>
            <w:noWrap w:val="0"/>
            <w:vAlign w:val="center"/>
          </w:tcPr>
          <w:p w14:paraId="74A7C797">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4FF5973">
            <w:pPr>
              <w:spacing w:line="280" w:lineRule="exact"/>
              <w:ind w:left="150" w:leftChars="50" w:firstLine="360" w:firstLineChars="15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食品生产经营者应当建立食品安全自查制度，明确自查的内容、人员、方式、频次、记录方式、整改要求等；对自查（检查）发现的问题，逐项分析原因并立即进行整改；</w:t>
            </w:r>
            <w:r>
              <w:rPr>
                <w:rFonts w:ascii="Times New Roman" w:hAnsi="Times New Roman" w:eastAsia="仿宋_GB2312" w:cs="Times New Roman"/>
                <w:color w:val="auto"/>
                <w:kern w:val="2"/>
                <w:sz w:val="24"/>
                <w:szCs w:val="24"/>
              </w:rPr>
              <w:t>.</w:t>
            </w:r>
            <w:r>
              <w:rPr>
                <w:rFonts w:hint="default" w:ascii="Times New Roman" w:hAnsi="Times New Roman" w:eastAsia="仿宋_GB2312" w:cs="Times New Roman"/>
                <w:color w:val="auto"/>
                <w:kern w:val="2"/>
                <w:sz w:val="24"/>
                <w:szCs w:val="24"/>
              </w:rPr>
              <w:t>有发生食品安全事故潜在风险的，应当立即停止食品经营活动，并向所在地县级人民政府市场监督管理部门报告。</w:t>
            </w:r>
          </w:p>
        </w:tc>
        <w:tc>
          <w:tcPr>
            <w:tcW w:w="1309" w:type="dxa"/>
            <w:noWrap w:val="0"/>
            <w:vAlign w:val="center"/>
          </w:tcPr>
          <w:p w14:paraId="4309A528">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7E803F5E">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6A3B9D2D">
            <w:pPr>
              <w:spacing w:line="280" w:lineRule="exact"/>
              <w:ind w:firstLine="0" w:firstLineChars="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3444E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CD40763">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44</w:t>
            </w:r>
          </w:p>
        </w:tc>
        <w:tc>
          <w:tcPr>
            <w:tcW w:w="1706" w:type="dxa"/>
            <w:noWrap w:val="0"/>
            <w:vAlign w:val="center"/>
          </w:tcPr>
          <w:p w14:paraId="427A20A8">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食品生产经营者应当建立并执行从业人员健康管理制度</w:t>
            </w:r>
          </w:p>
        </w:tc>
        <w:tc>
          <w:tcPr>
            <w:tcW w:w="2187" w:type="dxa"/>
            <w:noWrap w:val="0"/>
            <w:vAlign w:val="center"/>
          </w:tcPr>
          <w:p w14:paraId="2019A770">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一、安排患有国务院卫生行政部门规定的有碍食品安全疾病的人员从事接触直接入口食品的工作；</w:t>
            </w:r>
          </w:p>
          <w:p w14:paraId="1028F792">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二、安排未取得健康证明的人员从事接触直接入口食品的工作。</w:t>
            </w:r>
          </w:p>
        </w:tc>
        <w:tc>
          <w:tcPr>
            <w:tcW w:w="4750" w:type="dxa"/>
            <w:noWrap w:val="0"/>
            <w:vAlign w:val="top"/>
          </w:tcPr>
          <w:p w14:paraId="21377DF1">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《中华人民共和国食品安全法》</w:t>
            </w:r>
          </w:p>
          <w:p w14:paraId="26872CF3">
            <w:pPr>
              <w:spacing w:line="280" w:lineRule="exact"/>
              <w:ind w:left="150" w:leftChars="50" w:firstLine="482"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第四十五条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食品生产经营者应当建立并执行从业人员健康管理制度。患有国务院卫生行政部门规定的有碍食品安全疾病的人员，不得从事接触直接入口食品的工作。</w:t>
            </w:r>
          </w:p>
          <w:p w14:paraId="42785899">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从事接触直接入口食品工作的食品生产经营人员应当每年进行健康检查，取得健康证明后方可上岗工作。</w:t>
            </w:r>
          </w:p>
          <w:p w14:paraId="737ABC57">
            <w:pPr>
              <w:spacing w:line="280" w:lineRule="exact"/>
              <w:ind w:left="150" w:leftChars="50"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第一百二十六条第一款第（六）项 </w:t>
            </w:r>
            <w:r>
              <w:rPr>
                <w:rFonts w:hint="default" w:ascii="Times New Roman" w:hAnsi="Times New Roman" w:eastAsia="仿宋_GB2312" w:cs="Times New Roman"/>
                <w:color w:val="auto"/>
                <w:kern w:val="2"/>
                <w:sz w:val="24"/>
                <w:szCs w:val="24"/>
              </w:rPr>
              <w:t>违反本法规定，有下列情形之一的，由县级以上人民政府食品安全监督管理部门责令改正，给予警告；拒不改正的，处五千元以上五万元以下罚款；情节严重的，责令停产停业，直至吊销许可证：</w:t>
            </w:r>
          </w:p>
          <w:p w14:paraId="0E979882">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（六）食品生产经营者安排未取得健康证明或者患有国务院卫生行政部门规定的有碍食品安全疾病的人员从事接触直接入口食品的工作；</w:t>
            </w:r>
          </w:p>
        </w:tc>
        <w:tc>
          <w:tcPr>
            <w:tcW w:w="1196" w:type="dxa"/>
            <w:noWrap w:val="0"/>
            <w:vAlign w:val="center"/>
          </w:tcPr>
          <w:p w14:paraId="331D72F5">
            <w:pPr>
              <w:pStyle w:val="6"/>
              <w:widowControl w:val="0"/>
              <w:kinsoku/>
              <w:overflowPunct w:val="0"/>
              <w:topLinePunct/>
              <w:autoSpaceDE/>
              <w:autoSpaceDN/>
              <w:spacing w:line="280" w:lineRule="exact"/>
              <w:jc w:val="center"/>
              <w:rPr>
                <w:rFonts w:hint="default" w:ascii="Times New Roman" w:hAnsi="Times New Roman" w:eastAsia="方正仿宋_GBK"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B43EEA3">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w:t>
            </w:r>
            <w:r>
              <w:rPr>
                <w:rFonts w:ascii="Times New Roman" w:hAnsi="Times New Roman" w:eastAsia="仿宋_GB2312" w:cs="Times New Roman"/>
                <w:color w:val="auto"/>
                <w:kern w:val="2"/>
                <w:sz w:val="24"/>
                <w:szCs w:val="24"/>
              </w:rPr>
              <w:t>食品生产经营者</w:t>
            </w:r>
            <w:r>
              <w:rPr>
                <w:rFonts w:hint="default" w:ascii="Times New Roman" w:hAnsi="Times New Roman" w:eastAsia="仿宋_GB2312" w:cs="Times New Roman"/>
                <w:color w:val="auto"/>
                <w:kern w:val="2"/>
                <w:sz w:val="24"/>
                <w:szCs w:val="24"/>
              </w:rPr>
              <w:t>应当建立并执行从业人员健康管理制度；</w:t>
            </w:r>
          </w:p>
          <w:p w14:paraId="209C80FF">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二、从事接触直接入口食品工作的食品生产经营人员应当每年进行健康检查，取得健康证明后方可上岗工作。</w:t>
            </w:r>
          </w:p>
        </w:tc>
        <w:tc>
          <w:tcPr>
            <w:tcW w:w="1309" w:type="dxa"/>
            <w:noWrap w:val="0"/>
            <w:vAlign w:val="center"/>
          </w:tcPr>
          <w:p w14:paraId="57635101">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食品生产</w:t>
            </w:r>
            <w:r>
              <w:rPr>
                <w:rFonts w:hint="default" w:ascii="Times New Roman" w:hAnsi="Times New Roman" w:cs="Times New Roman"/>
                <w:color w:val="auto"/>
                <w:kern w:val="2"/>
                <w:sz w:val="24"/>
                <w:szCs w:val="24"/>
                <w:lang w:val="en-US" w:eastAsia="zh-CN"/>
              </w:rPr>
              <w:t>股、</w:t>
            </w:r>
          </w:p>
          <w:p w14:paraId="07C6298D">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食品经营</w:t>
            </w:r>
            <w:r>
              <w:rPr>
                <w:rFonts w:hint="default" w:ascii="Times New Roman" w:hAnsi="Times New Roman" w:cs="Times New Roman"/>
                <w:color w:val="auto"/>
                <w:kern w:val="2"/>
                <w:sz w:val="24"/>
                <w:szCs w:val="24"/>
                <w:lang w:val="en-US" w:eastAsia="zh-CN"/>
              </w:rPr>
              <w:t>股、</w:t>
            </w:r>
          </w:p>
          <w:p w14:paraId="3BC67A4C">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餐饮</w:t>
            </w:r>
            <w:r>
              <w:rPr>
                <w:rFonts w:hint="default" w:ascii="Times New Roman" w:hAnsi="Times New Roman" w:cs="Times New Roman"/>
                <w:color w:val="auto"/>
                <w:kern w:val="2"/>
                <w:sz w:val="24"/>
                <w:szCs w:val="24"/>
                <w:lang w:val="en-US" w:eastAsia="zh-CN"/>
              </w:rPr>
              <w:t>股</w:t>
            </w:r>
          </w:p>
        </w:tc>
      </w:tr>
      <w:tr w14:paraId="0AD9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6DFF87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45</w:t>
            </w:r>
          </w:p>
        </w:tc>
        <w:tc>
          <w:tcPr>
            <w:tcW w:w="1706" w:type="dxa"/>
            <w:noWrap w:val="0"/>
            <w:vAlign w:val="center"/>
          </w:tcPr>
          <w:p w14:paraId="2ABA4825">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药品生产经营者应当取得许可</w:t>
            </w:r>
          </w:p>
        </w:tc>
        <w:tc>
          <w:tcPr>
            <w:tcW w:w="2187" w:type="dxa"/>
            <w:noWrap w:val="0"/>
            <w:vAlign w:val="center"/>
          </w:tcPr>
          <w:p w14:paraId="343C4C03">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药品生产经营者未取得许可开展药品生产经营</w:t>
            </w:r>
          </w:p>
        </w:tc>
        <w:tc>
          <w:tcPr>
            <w:tcW w:w="4750" w:type="dxa"/>
            <w:noWrap w:val="0"/>
            <w:vAlign w:val="top"/>
          </w:tcPr>
          <w:p w14:paraId="36E49600">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45BD84E9">
            <w:pPr>
              <w:spacing w:line="280" w:lineRule="exact"/>
              <w:ind w:left="150" w:leftChars="50" w:firstLine="482" w:firstLineChars="200"/>
              <w:rPr>
                <w:rFonts w:ascii="Times New Roman" w:hAnsi="Times New Roman" w:eastAsia="仿宋_GB2312" w:cs="Times New Roman"/>
                <w:b/>
                <w:color w:val="auto"/>
                <w:kern w:val="2"/>
                <w:sz w:val="24"/>
                <w:szCs w:val="24"/>
              </w:rPr>
            </w:pPr>
            <w:r>
              <w:rPr>
                <w:rFonts w:ascii="Times New Roman" w:hAnsi="Times New Roman" w:eastAsia="仿宋_GB2312" w:cs="Times New Roman"/>
                <w:b/>
                <w:color w:val="auto"/>
                <w:kern w:val="2"/>
                <w:sz w:val="24"/>
                <w:szCs w:val="24"/>
              </w:rPr>
              <w:t>第四十一条</w:t>
            </w:r>
            <w:r>
              <w:rPr>
                <w:rFonts w:hint="default" w:ascii="Times New Roman" w:hAnsi="Times New Roman" w:eastAsia="仿宋_GB2312" w:cs="Times New Roman"/>
                <w:b/>
                <w:color w:val="auto"/>
                <w:kern w:val="2"/>
                <w:sz w:val="24"/>
                <w:szCs w:val="24"/>
              </w:rPr>
              <w:t xml:space="preserve"> </w:t>
            </w:r>
            <w:r>
              <w:rPr>
                <w:rFonts w:hint="default" w:ascii="Times New Roman" w:hAnsi="Times New Roman" w:eastAsia="仿宋_GB2312" w:cs="Times New Roman"/>
                <w:color w:val="auto"/>
                <w:kern w:val="2"/>
                <w:sz w:val="24"/>
                <w:szCs w:val="24"/>
              </w:rPr>
              <w:t>从事药品生产活动，应当经所在地省、自治区、直辖市人民政府药品监督管理部门批准，取得药品生产许可证。无药品生产许可证的，不得生产药品</w:t>
            </w:r>
            <w:r>
              <w:rPr>
                <w:rFonts w:ascii="Times New Roman" w:hAnsi="Times New Roman" w:eastAsia="仿宋_GB2312" w:cs="Times New Roman"/>
                <w:color w:val="auto"/>
                <w:kern w:val="2"/>
                <w:sz w:val="24"/>
                <w:szCs w:val="24"/>
              </w:rPr>
              <w:t>。</w:t>
            </w:r>
          </w:p>
          <w:p w14:paraId="10CCD873">
            <w:pPr>
              <w:spacing w:line="280" w:lineRule="exact"/>
              <w:ind w:left="150" w:leftChars="50" w:firstLine="482"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第五十一条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从事药品批发活动，应当经所在地省、自治区、直辖市人民政府药品监督管理部门批准，取得药品经营许可证。从事药品零售活动，应当经所在地县级以上地方人民政府药品监督管理部门批准，取得药品经营许可证。无药品经营许可证的，不得经营药品。</w:t>
            </w:r>
          </w:p>
          <w:p w14:paraId="0E451E48">
            <w:pPr>
              <w:spacing w:line="280" w:lineRule="exact"/>
              <w:ind w:left="150" w:leftChars="50" w:firstLine="482"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第七十四条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医疗机构配制制剂，应当经所在地省、自治区、直辖市人民政府药品监督管理部门批准，取得医疗机构制剂许可证。无医疗机构制剂许可证的，不得配制制剂。</w:t>
            </w:r>
          </w:p>
          <w:p w14:paraId="7C0DBA7E">
            <w:pPr>
              <w:spacing w:line="280" w:lineRule="exact"/>
              <w:ind w:left="150" w:leftChars="50" w:firstLine="482" w:firstLineChars="200"/>
              <w:rPr>
                <w:rFonts w:ascii="Times New Roman" w:hAnsi="Times New Roman" w:eastAsia="宋体" w:cs="Times New Roman"/>
                <w:sz w:val="24"/>
                <w:szCs w:val="24"/>
              </w:rPr>
            </w:pPr>
            <w:r>
              <w:rPr>
                <w:rFonts w:ascii="Times New Roman" w:hAnsi="Times New Roman" w:eastAsia="仿宋_GB2312" w:cs="Times New Roman"/>
                <w:b/>
                <w:color w:val="auto"/>
                <w:kern w:val="2"/>
                <w:sz w:val="24"/>
                <w:szCs w:val="24"/>
              </w:rPr>
              <w:t>第一百一十五条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未取得药品生产许可证、药品经营许可证或者医疗机构制剂许可证生产、销售药品的，责令关闭，没收违法生产、销售的药品和违法所得，并处违法生产、销售的药品（包括已售出和未售出的药品，下同）货值金额十五倍以上三十倍以下的罚款；货值金额不足十万元的，按十万元计算。</w:t>
            </w:r>
          </w:p>
        </w:tc>
        <w:tc>
          <w:tcPr>
            <w:tcW w:w="1196" w:type="dxa"/>
            <w:noWrap w:val="0"/>
            <w:vAlign w:val="center"/>
          </w:tcPr>
          <w:p w14:paraId="0B87F949">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482B982">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未取得药品生产许可证、药品经营许可证或者医疗机构制剂许可证</w:t>
            </w:r>
            <w:r>
              <w:rPr>
                <w:rFonts w:hint="default" w:ascii="Times New Roman" w:hAnsi="Times New Roman" w:eastAsia="仿宋_GB2312" w:cs="Times New Roman"/>
                <w:color w:val="auto"/>
                <w:kern w:val="2"/>
                <w:sz w:val="24"/>
                <w:szCs w:val="24"/>
              </w:rPr>
              <w:t>不得</w:t>
            </w:r>
            <w:r>
              <w:rPr>
                <w:rFonts w:ascii="Times New Roman" w:hAnsi="Times New Roman" w:eastAsia="仿宋_GB2312" w:cs="Times New Roman"/>
                <w:color w:val="auto"/>
                <w:kern w:val="2"/>
                <w:sz w:val="24"/>
                <w:szCs w:val="24"/>
              </w:rPr>
              <w:t>生产、销售药品</w:t>
            </w:r>
            <w:r>
              <w:rPr>
                <w:rFonts w:hint="default" w:ascii="Times New Roman" w:hAnsi="Times New Roman" w:eastAsia="仿宋_GB2312" w:cs="Times New Roman"/>
                <w:color w:val="auto"/>
                <w:kern w:val="2"/>
                <w:sz w:val="24"/>
                <w:szCs w:val="24"/>
              </w:rPr>
              <w:t>。</w:t>
            </w:r>
          </w:p>
        </w:tc>
        <w:tc>
          <w:tcPr>
            <w:tcW w:w="1309" w:type="dxa"/>
            <w:noWrap w:val="0"/>
            <w:vAlign w:val="center"/>
          </w:tcPr>
          <w:p w14:paraId="375BA7BC">
            <w:pPr>
              <w:spacing w:line="280" w:lineRule="exact"/>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5FDC4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7F58978">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46</w:t>
            </w:r>
          </w:p>
        </w:tc>
        <w:tc>
          <w:tcPr>
            <w:tcW w:w="1706" w:type="dxa"/>
            <w:noWrap w:val="0"/>
            <w:vAlign w:val="center"/>
          </w:tcPr>
          <w:p w14:paraId="17BFD2AB">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药品生产经营者不得</w:t>
            </w:r>
            <w:r>
              <w:rPr>
                <w:rFonts w:ascii="Times New Roman" w:hAnsi="Times New Roman" w:eastAsia="仿宋_GB2312" w:cs="Times New Roman"/>
                <w:color w:val="auto"/>
                <w:kern w:val="2"/>
                <w:sz w:val="24"/>
                <w:szCs w:val="24"/>
              </w:rPr>
              <w:t>伪造、变造、出租、出借、非法买卖许可证或者药品批准证明文件</w:t>
            </w:r>
          </w:p>
        </w:tc>
        <w:tc>
          <w:tcPr>
            <w:tcW w:w="2187" w:type="dxa"/>
            <w:noWrap w:val="0"/>
            <w:vAlign w:val="center"/>
          </w:tcPr>
          <w:p w14:paraId="68602203">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w:t>
            </w:r>
            <w:r>
              <w:rPr>
                <w:rFonts w:ascii="Times New Roman" w:hAnsi="Times New Roman" w:eastAsia="仿宋_GB2312" w:cs="Times New Roman"/>
                <w:color w:val="auto"/>
                <w:kern w:val="2"/>
                <w:sz w:val="24"/>
                <w:szCs w:val="24"/>
              </w:rPr>
              <w:t>伪造、变造、出租、出借、非法买卖许可证或者药品批准证明文件</w:t>
            </w:r>
            <w:r>
              <w:rPr>
                <w:rFonts w:hint="default" w:ascii="Times New Roman" w:hAnsi="Times New Roman" w:eastAsia="仿宋_GB2312" w:cs="Times New Roman"/>
                <w:color w:val="auto"/>
                <w:kern w:val="2"/>
                <w:sz w:val="24"/>
                <w:szCs w:val="24"/>
              </w:rPr>
              <w:t>。</w:t>
            </w:r>
          </w:p>
        </w:tc>
        <w:tc>
          <w:tcPr>
            <w:tcW w:w="4750" w:type="dxa"/>
            <w:noWrap w:val="0"/>
            <w:vAlign w:val="top"/>
          </w:tcPr>
          <w:p w14:paraId="3D469208">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5126476F">
            <w:pPr>
              <w:spacing w:line="280" w:lineRule="exact"/>
              <w:ind w:left="150" w:leftChars="50" w:firstLine="482"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第一百二十二条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伪造、变造、出租、出借、非法买卖许可证或者药品批准证明文件的，没收违法所得，并处违法所得一倍以上五倍以下的罚款；情节严重的，并处违法所得五倍以上十五倍以下的罚款，吊销药品生产许可证、药品经营许可证、医疗机构制剂许可证或者药品批准证明文件，对法定代表人、主要负责人、直接负责的主管人员和其他责任人员，处二万元以上二十万元以下的罚款，十年内禁止从事药品生产经营活动，并可以由公安机关处五日以上十五日以下的拘留；违法所得不足十万元的，按十万元计算。</w:t>
            </w:r>
          </w:p>
        </w:tc>
        <w:tc>
          <w:tcPr>
            <w:tcW w:w="1196" w:type="dxa"/>
            <w:noWrap w:val="0"/>
            <w:vAlign w:val="center"/>
          </w:tcPr>
          <w:p w14:paraId="58F6A036">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3D36E774">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药品生产经营者要依法依规经营，不得</w:t>
            </w:r>
            <w:r>
              <w:rPr>
                <w:rFonts w:ascii="Times New Roman" w:hAnsi="Times New Roman" w:eastAsia="仿宋_GB2312" w:cs="Times New Roman"/>
                <w:color w:val="auto"/>
                <w:kern w:val="2"/>
                <w:sz w:val="24"/>
                <w:szCs w:val="24"/>
              </w:rPr>
              <w:t>伪造、变造、出租、出借、非法买卖许可证或者药品批准证明文件</w:t>
            </w:r>
            <w:r>
              <w:rPr>
                <w:rFonts w:hint="default" w:ascii="Times New Roman" w:hAnsi="Times New Roman" w:eastAsia="仿宋_GB2312" w:cs="Times New Roman"/>
                <w:color w:val="auto"/>
                <w:kern w:val="2"/>
                <w:sz w:val="24"/>
                <w:szCs w:val="24"/>
              </w:rPr>
              <w:t>。</w:t>
            </w:r>
          </w:p>
        </w:tc>
        <w:tc>
          <w:tcPr>
            <w:tcW w:w="1309" w:type="dxa"/>
            <w:noWrap w:val="0"/>
            <w:vAlign w:val="center"/>
          </w:tcPr>
          <w:p w14:paraId="501F127B">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1A061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9D3D9EA">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47</w:t>
            </w:r>
          </w:p>
        </w:tc>
        <w:tc>
          <w:tcPr>
            <w:tcW w:w="1706" w:type="dxa"/>
            <w:noWrap w:val="0"/>
            <w:vAlign w:val="center"/>
          </w:tcPr>
          <w:p w14:paraId="70C525AB">
            <w:pPr>
              <w:kinsoku/>
              <w:autoSpaceDE/>
              <w:autoSpaceDN/>
              <w:adjustRightInd/>
              <w:snapToGrid/>
              <w:spacing w:line="280" w:lineRule="exact"/>
              <w:ind w:firstLine="422"/>
              <w:textAlignment w:val="auto"/>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药品生产经营者不得超出许可范围经营药品</w:t>
            </w:r>
          </w:p>
        </w:tc>
        <w:tc>
          <w:tcPr>
            <w:tcW w:w="2187" w:type="dxa"/>
            <w:noWrap w:val="0"/>
            <w:vAlign w:val="center"/>
          </w:tcPr>
          <w:p w14:paraId="335C2C90">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药品生产经营者超出许可范围经营药品。</w:t>
            </w:r>
          </w:p>
        </w:tc>
        <w:tc>
          <w:tcPr>
            <w:tcW w:w="4750" w:type="dxa"/>
            <w:noWrap w:val="0"/>
            <w:vAlign w:val="top"/>
          </w:tcPr>
          <w:p w14:paraId="2A792E1C">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《药品经营和使用质量监督管理办法》</w:t>
            </w:r>
          </w:p>
          <w:p w14:paraId="5C26F1C7">
            <w:pPr>
              <w:spacing w:line="280" w:lineRule="exact"/>
              <w:ind w:left="150" w:leftChars="50" w:firstLine="482"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第二十一条第四款 </w:t>
            </w:r>
            <w:r>
              <w:rPr>
                <w:rFonts w:hint="default" w:ascii="Times New Roman" w:hAnsi="Times New Roman" w:eastAsia="仿宋_GB2312" w:cs="Times New Roman"/>
                <w:color w:val="auto"/>
                <w:kern w:val="2"/>
                <w:sz w:val="24"/>
                <w:szCs w:val="24"/>
              </w:rPr>
              <w:t>药品零售连锁门店的经营范围不得超过药品零售连锁总部的经营范围。</w:t>
            </w:r>
          </w:p>
          <w:p w14:paraId="3237429D">
            <w:pPr>
              <w:kinsoku/>
              <w:autoSpaceDE/>
              <w:autoSpaceDN/>
              <w:adjustRightInd/>
              <w:snapToGrid/>
              <w:spacing w:line="280" w:lineRule="exact"/>
              <w:ind w:firstLine="422"/>
              <w:textAlignment w:val="auto"/>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第三十一条第一款 </w:t>
            </w:r>
            <w:r>
              <w:rPr>
                <w:rFonts w:hint="default" w:ascii="Times New Roman" w:hAnsi="Times New Roman" w:eastAsia="仿宋_GB2312" w:cs="Times New Roman"/>
                <w:color w:val="auto"/>
                <w:kern w:val="2"/>
                <w:sz w:val="24"/>
                <w:szCs w:val="24"/>
              </w:rPr>
              <w:t>从事药品经营活动的，应当遵守药品经营质量管理规范，按照药品经营许可证载明的经营方式和经营范围，在药品监督管理部门核准的地址销售、储存药品，保证药品经营全过程符合法定要求。</w:t>
            </w:r>
          </w:p>
          <w:p w14:paraId="3772D8F1">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79570ACA">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第一百一十五条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未取得药品生产许可证、药品经营许可证或者医疗机构制剂许可证生产、销售药品的，责令关闭，没收违法生产、销售的药品和违法所得，并处违法生产、销售的药品（包括已售出和未售出的药品，下同）货值金额十五倍以上三十倍以下的罚款；货值金额不足十万元的，按十万元计算。</w:t>
            </w:r>
          </w:p>
        </w:tc>
        <w:tc>
          <w:tcPr>
            <w:tcW w:w="1196" w:type="dxa"/>
            <w:noWrap w:val="0"/>
            <w:vAlign w:val="center"/>
          </w:tcPr>
          <w:p w14:paraId="7DB188D5">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5ED6835">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药品生产经营者不得超出许可范围经营药品。</w:t>
            </w:r>
          </w:p>
        </w:tc>
        <w:tc>
          <w:tcPr>
            <w:tcW w:w="1309" w:type="dxa"/>
            <w:noWrap w:val="0"/>
            <w:vAlign w:val="center"/>
          </w:tcPr>
          <w:p w14:paraId="44E3DC96">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534F1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95DB5A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48</w:t>
            </w:r>
          </w:p>
        </w:tc>
        <w:tc>
          <w:tcPr>
            <w:tcW w:w="1706" w:type="dxa"/>
            <w:noWrap w:val="0"/>
            <w:vAlign w:val="center"/>
          </w:tcPr>
          <w:p w14:paraId="20B92FEE">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从事药品经营活动，应当遵守药品经营质量管理规范</w:t>
            </w:r>
          </w:p>
        </w:tc>
        <w:tc>
          <w:tcPr>
            <w:tcW w:w="2187" w:type="dxa"/>
            <w:noWrap w:val="0"/>
            <w:vAlign w:val="center"/>
          </w:tcPr>
          <w:p w14:paraId="37AB0C9F">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w:t>
            </w:r>
            <w:r>
              <w:rPr>
                <w:rFonts w:ascii="Times New Roman" w:hAnsi="Times New Roman" w:eastAsia="仿宋_GB2312" w:cs="Times New Roman"/>
                <w:color w:val="auto"/>
                <w:kern w:val="2"/>
                <w:sz w:val="24"/>
                <w:szCs w:val="24"/>
              </w:rPr>
              <w:t>未做到营业场所、仓库、办公、生活等区域分开并有隔离措施；</w:t>
            </w:r>
          </w:p>
          <w:p w14:paraId="015E4C19">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w:t>
            </w:r>
            <w:r>
              <w:rPr>
                <w:rFonts w:ascii="Times New Roman" w:hAnsi="Times New Roman" w:eastAsia="仿宋_GB2312" w:cs="Times New Roman"/>
                <w:color w:val="auto"/>
                <w:kern w:val="2"/>
                <w:sz w:val="24"/>
                <w:szCs w:val="24"/>
              </w:rPr>
              <w:t>未做到营业场所和仓库等环境整洁、无污染；</w:t>
            </w:r>
          </w:p>
          <w:p w14:paraId="3A2DEE06">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w:t>
            </w:r>
            <w:r>
              <w:rPr>
                <w:rFonts w:ascii="Times New Roman" w:hAnsi="Times New Roman" w:eastAsia="仿宋_GB2312" w:cs="Times New Roman"/>
                <w:color w:val="auto"/>
                <w:kern w:val="2"/>
                <w:sz w:val="24"/>
                <w:szCs w:val="24"/>
              </w:rPr>
              <w:t>经营非药品未设非药品专售区域并有明显的区域标志；</w:t>
            </w:r>
          </w:p>
          <w:p w14:paraId="5FEB48C9">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第、</w:t>
            </w:r>
            <w:r>
              <w:rPr>
                <w:rFonts w:ascii="Times New Roman" w:hAnsi="Times New Roman" w:eastAsia="仿宋_GB2312" w:cs="Times New Roman"/>
                <w:color w:val="auto"/>
                <w:kern w:val="2"/>
                <w:sz w:val="24"/>
                <w:szCs w:val="24"/>
              </w:rPr>
              <w:t>经营场所内处方药与非处方药、内服药与外用药未分开陈列；</w:t>
            </w:r>
          </w:p>
          <w:p w14:paraId="40F5FB3E">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w:t>
            </w:r>
            <w:r>
              <w:rPr>
                <w:rFonts w:ascii="Times New Roman" w:hAnsi="Times New Roman" w:eastAsia="仿宋_GB2312" w:cs="Times New Roman"/>
                <w:color w:val="auto"/>
                <w:kern w:val="2"/>
                <w:sz w:val="24"/>
                <w:szCs w:val="24"/>
              </w:rPr>
              <w:t>.执业药师或药学技术人员不在岗或不能履行工作职责；</w:t>
            </w:r>
          </w:p>
          <w:p w14:paraId="126BC07A">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六、营业场所和仓库未配置调节温、湿度的设备。</w:t>
            </w:r>
          </w:p>
        </w:tc>
        <w:tc>
          <w:tcPr>
            <w:tcW w:w="4750" w:type="dxa"/>
            <w:noWrap w:val="0"/>
            <w:vAlign w:val="top"/>
          </w:tcPr>
          <w:p w14:paraId="16DD0669">
            <w:pPr>
              <w:spacing w:line="280" w:lineRule="exact"/>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《药品经营和使用质量监督管理办法》</w:t>
            </w:r>
          </w:p>
          <w:p w14:paraId="7CCC3816">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第五十二条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从事药品经营活动应当具备以下条件：</w:t>
            </w:r>
          </w:p>
          <w:p w14:paraId="26A296A0">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（一）有依法经过资格认定的药师或者其他药学技术人员；</w:t>
            </w:r>
          </w:p>
          <w:p w14:paraId="279A7A72">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（二）有与所经营药品相适应的营业场所、设备、仓储设施和卫生环境；</w:t>
            </w:r>
          </w:p>
          <w:p w14:paraId="2F949B40">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（三）有与所经营药品相适应的质量管理机构或者人员；</w:t>
            </w:r>
          </w:p>
          <w:p w14:paraId="09DB41F2">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（四）有保证药品质量的规章制度，并符合国务院药品监督管理部门依据本法制定的药品经营质量管理规范要求。</w:t>
            </w:r>
          </w:p>
          <w:p w14:paraId="2A911C3C">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第五十三条</w:t>
            </w:r>
            <w:r>
              <w:rPr>
                <w:rFonts w:hint="default" w:ascii="Times New Roman" w:hAnsi="Times New Roman" w:eastAsia="仿宋_GB2312" w:cs="Times New Roman"/>
                <w:b/>
                <w:color w:val="auto"/>
                <w:kern w:val="2"/>
                <w:sz w:val="24"/>
                <w:szCs w:val="24"/>
              </w:rPr>
              <w:t xml:space="preserve">第一款 </w:t>
            </w:r>
            <w:r>
              <w:rPr>
                <w:rFonts w:ascii="Times New Roman" w:hAnsi="Times New Roman" w:eastAsia="仿宋_GB2312" w:cs="Times New Roman"/>
                <w:color w:val="auto"/>
                <w:kern w:val="2"/>
                <w:sz w:val="24"/>
                <w:szCs w:val="24"/>
              </w:rPr>
              <w:t>从事药品经营活动，应当遵守药品经营质量管理规范，建立健全药品经营质量管理体系，保证药品经营全过程持续符合法定要求。</w:t>
            </w:r>
          </w:p>
          <w:p w14:paraId="74D72A37">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52CCB80F">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第一百二十六条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除本法另有规定的情形外，药品上市许可持有人、药品生产企业、药品经营企业、药物非临床安全性评价研究机构、药物临床试验机构等未遵守药品生产质量管理规范、药品经营质量管理规范、药物非临床研究质量管理规范、药物临床试验质量管理规范等的，责令限期改正，给予警告；逾期不改正的，处十万元以上五十万元以下的罚款；情节严重的，处五十万元以上二百万元以下的罚款，责令停产停业整顿直至吊销药品批准证明文件、药品生产许可证、药品经营许可证等，药物非临床安全性评价研究机构、药物临床试验机构等五年内不得开展药物非临床安全性评价研究、药物临床试验，对法定代表人、主要负责人、直接负责的主管人员和其他责任人员，没收违法行为发生期间自本单位所获收入，并处所获收入百分之十以上百分之五十以下的罚款，十年直至终身禁止从事药品生产经营等活动。</w:t>
            </w:r>
          </w:p>
        </w:tc>
        <w:tc>
          <w:tcPr>
            <w:tcW w:w="1196" w:type="dxa"/>
            <w:noWrap w:val="0"/>
            <w:vAlign w:val="center"/>
          </w:tcPr>
          <w:p w14:paraId="04C22DCD">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18F206AD">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从事药品经营活动</w:t>
            </w:r>
            <w:r>
              <w:rPr>
                <w:rFonts w:ascii="Times New Roman" w:hAnsi="Times New Roman" w:eastAsia="仿宋_GB2312" w:cs="Times New Roman"/>
                <w:color w:val="auto"/>
                <w:kern w:val="2"/>
                <w:sz w:val="24"/>
                <w:szCs w:val="24"/>
              </w:rPr>
              <w:t>应当严格遵守药品经营质量管理规范。</w:t>
            </w:r>
          </w:p>
          <w:p w14:paraId="623644CB">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1309" w:type="dxa"/>
            <w:noWrap w:val="0"/>
            <w:vAlign w:val="center"/>
          </w:tcPr>
          <w:p w14:paraId="7C1517DE">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10E17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5A51667">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49</w:t>
            </w:r>
          </w:p>
        </w:tc>
        <w:tc>
          <w:tcPr>
            <w:tcW w:w="1706" w:type="dxa"/>
            <w:noWrap w:val="0"/>
            <w:vAlign w:val="center"/>
          </w:tcPr>
          <w:p w14:paraId="75E3B8F5">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禁止生产（包括配制）、销售、使用假药、劣药</w:t>
            </w:r>
          </w:p>
        </w:tc>
        <w:tc>
          <w:tcPr>
            <w:tcW w:w="2187" w:type="dxa"/>
            <w:noWrap w:val="0"/>
            <w:vAlign w:val="center"/>
          </w:tcPr>
          <w:p w14:paraId="5E0F0DA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w:t>
            </w:r>
            <w:r>
              <w:rPr>
                <w:rFonts w:ascii="Times New Roman" w:hAnsi="Times New Roman" w:eastAsia="仿宋_GB2312" w:cs="Times New Roman"/>
                <w:color w:val="auto"/>
                <w:kern w:val="2"/>
                <w:sz w:val="24"/>
                <w:szCs w:val="24"/>
              </w:rPr>
              <w:t>生产、销售、使用</w:t>
            </w:r>
            <w:r>
              <w:rPr>
                <w:rFonts w:hint="default" w:ascii="Times New Roman" w:hAnsi="Times New Roman" w:eastAsia="仿宋_GB2312" w:cs="Times New Roman"/>
                <w:color w:val="auto"/>
                <w:kern w:val="2"/>
                <w:sz w:val="24"/>
                <w:szCs w:val="24"/>
              </w:rPr>
              <w:t>假药：</w:t>
            </w:r>
          </w:p>
          <w:p w14:paraId="3655A370">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（一）药品所含成份与国家药品标准规定的成份不符；</w:t>
            </w:r>
          </w:p>
          <w:p w14:paraId="58487CC3">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（二）以非药品冒充药品或者以他种药品冒充此种药品；</w:t>
            </w:r>
          </w:p>
          <w:p w14:paraId="093A92D5">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（三）变质的药品；</w:t>
            </w:r>
          </w:p>
          <w:p w14:paraId="26DA705C">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（四）药品所标明的适应症或者功能主治超出规定范围。</w:t>
            </w:r>
          </w:p>
          <w:p w14:paraId="6E6F083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w:t>
            </w:r>
            <w:r>
              <w:rPr>
                <w:rFonts w:ascii="Times New Roman" w:hAnsi="Times New Roman" w:eastAsia="仿宋_GB2312" w:cs="Times New Roman"/>
                <w:color w:val="auto"/>
                <w:kern w:val="2"/>
                <w:sz w:val="24"/>
                <w:szCs w:val="24"/>
              </w:rPr>
              <w:t>生产、销售、使用</w:t>
            </w:r>
            <w:r>
              <w:rPr>
                <w:rFonts w:hint="default" w:ascii="Times New Roman" w:hAnsi="Times New Roman" w:eastAsia="仿宋_GB2312" w:cs="Times New Roman"/>
                <w:color w:val="auto"/>
                <w:kern w:val="2"/>
                <w:sz w:val="24"/>
                <w:szCs w:val="24"/>
              </w:rPr>
              <w:t>劣药：</w:t>
            </w:r>
          </w:p>
          <w:p w14:paraId="36FEF1FD">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（一）药品成份的含量不符合国家药品标准；</w:t>
            </w:r>
          </w:p>
          <w:p w14:paraId="4015B9D8">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（二）被污染的药品；</w:t>
            </w:r>
          </w:p>
          <w:p w14:paraId="56B89E6C">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（三）未标明或者更改有效期的药品；</w:t>
            </w:r>
          </w:p>
          <w:p w14:paraId="190C9F96">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（四）未注明或者更改产品批号的药品；</w:t>
            </w:r>
          </w:p>
          <w:p w14:paraId="301C8F18">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（五）超过有效期的药品；</w:t>
            </w:r>
          </w:p>
          <w:p w14:paraId="60DA66C3">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（六）擅自添加防腐剂、辅料的药品；</w:t>
            </w:r>
          </w:p>
          <w:p w14:paraId="15ED58F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（七）其他不符合药品标准的药品。</w:t>
            </w:r>
          </w:p>
        </w:tc>
        <w:tc>
          <w:tcPr>
            <w:tcW w:w="4750" w:type="dxa"/>
            <w:noWrap w:val="0"/>
            <w:vAlign w:val="top"/>
          </w:tcPr>
          <w:p w14:paraId="4F7C6B92">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39F3B1D2">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第九十八条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禁止生产（包括配制，下同）、销售、使用假药、劣药。</w:t>
            </w:r>
          </w:p>
          <w:p w14:paraId="3FB746BD">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有下列情形之一的，为假药：</w:t>
            </w:r>
          </w:p>
          <w:p w14:paraId="1451CE0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（一）药品所含成份与国家药品标准规定的成份不符；</w:t>
            </w:r>
          </w:p>
          <w:p w14:paraId="00E21F8A">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（二）以非药品冒充药品或者以他种药品冒充此种药品；</w:t>
            </w:r>
          </w:p>
          <w:p w14:paraId="3E80665B">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（三）变质的药品；</w:t>
            </w:r>
          </w:p>
          <w:p w14:paraId="7C0E96F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（四）药品所标明的适应症或者功能主治超出规定范围。</w:t>
            </w:r>
          </w:p>
          <w:p w14:paraId="415A211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有下列情形之一的，为劣药：</w:t>
            </w:r>
          </w:p>
          <w:p w14:paraId="21DDCD58">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（一）药品成份的含量不符合国家药品标准；</w:t>
            </w:r>
          </w:p>
          <w:p w14:paraId="12F6FDAA">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（二）被污染的药品；</w:t>
            </w:r>
          </w:p>
          <w:p w14:paraId="733DB0B1">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（三）未标明或者更改有效期的药品；</w:t>
            </w:r>
          </w:p>
          <w:p w14:paraId="6673E3DD">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（四）未注明或者更改产品批号的药品；</w:t>
            </w:r>
          </w:p>
          <w:p w14:paraId="52380D3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（五）超过有效期的药品；</w:t>
            </w:r>
          </w:p>
          <w:p w14:paraId="48400593">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（六）擅自添加防腐剂、辅料的药品；</w:t>
            </w:r>
          </w:p>
          <w:p w14:paraId="7A4A371B">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（七）其他不符合药品标准的药品。</w:t>
            </w:r>
          </w:p>
          <w:p w14:paraId="3856F43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禁止未取得药品批准证明文件生产、进口药品；禁止使用未按照规定审评、审批的原料药、包装材料和容器生产药品。</w:t>
            </w:r>
          </w:p>
          <w:p w14:paraId="3D45CCBA">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第一百一十六条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生产、销售假药的，没收违法生产、销售的药品和违法所得，责令停产停业整顿，吊销药品批准证明文件，并处违法生产、销售的药品货值金额十五倍以上三十倍以下的罚款；货值金额不足十万元的，按十万元计算；情节严重的，吊销药品生产许可证、药品经营许可证或者医疗机构制剂许可证，十年内不受理其相应申请；药品上市许可持有人为境外企业的，十年内禁止其药品进口。</w:t>
            </w:r>
          </w:p>
          <w:p w14:paraId="31BDB0C2">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第一百一十七条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生产、销售劣药的，没收违法生产、销售的药品和违法所得，并处违法生产、销售的药品货值金额十倍以上二十倍以下的罚款；违法生产、批发的药品货值金额不足十万元的，按十万元计算，违法零售的药品货值金额不足一万元的，按一万元计算；情节严重的，责令停产停业整顿直至吊销药品批准证明文件、药品生产许可证、药品经营许可证或者医疗机构制剂许可证。</w:t>
            </w:r>
          </w:p>
          <w:p w14:paraId="5A7EFC9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生产、销售的中药饮片不符合药品标准，尚不影响安全性、有效性的，责令限期改正，给予警告；可以处十万元以上五十万元以下的罚款。</w:t>
            </w:r>
          </w:p>
          <w:p w14:paraId="2E496F15">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第一百一十八条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生产、销售假药，或者生产、销售劣药且情节严重的，对法定代表人、主要负责人、直接负责的主管人员和其他责任人员，没收违法行为发生期间自本单位所获收入，并处所获收入百分之三十以上三倍以下的罚款，终身禁止从事药品生产经营活动，并可以由公安机关处五日以上十五日以下的拘留。</w:t>
            </w:r>
          </w:p>
          <w:p w14:paraId="1532968C">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对生产者专门用于生产假药、劣药的原料、辅料、包装材料、生产设备予以没收。</w:t>
            </w:r>
          </w:p>
          <w:p w14:paraId="33037A2F">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第一百一十九条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药品使用单位使用假药、劣药的，按照销售假药、零售劣药的规定处罚；情节严重的，法定代表人、主要负责人、直接负责的主管人员和其他责任人员有医疗卫生人员执业证书的，还应当吊销执业证书。</w:t>
            </w:r>
          </w:p>
          <w:p w14:paraId="779D2BD0">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13EBE9B3">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E669A45">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药品生产经营使用单位不得销售使用假药、劣药。</w:t>
            </w:r>
          </w:p>
        </w:tc>
        <w:tc>
          <w:tcPr>
            <w:tcW w:w="1309" w:type="dxa"/>
            <w:noWrap w:val="0"/>
            <w:vAlign w:val="center"/>
          </w:tcPr>
          <w:p w14:paraId="6A0974B5">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3A05B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55C97DC">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50</w:t>
            </w:r>
          </w:p>
        </w:tc>
        <w:tc>
          <w:tcPr>
            <w:tcW w:w="1706" w:type="dxa"/>
            <w:noWrap w:val="0"/>
            <w:vAlign w:val="center"/>
          </w:tcPr>
          <w:p w14:paraId="29C0F86A">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药品上市许可持有人、药品生产企业、药品经营企业和医疗机构应当从药品上市许可持有人或者具有药品生产、经营资格的企业购进药品</w:t>
            </w:r>
          </w:p>
        </w:tc>
        <w:tc>
          <w:tcPr>
            <w:tcW w:w="2187" w:type="dxa"/>
            <w:noWrap w:val="0"/>
            <w:vAlign w:val="center"/>
          </w:tcPr>
          <w:p w14:paraId="4D62099F">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药品上市许可持有人、药品生产企业、药品经营企业和医疗机构从</w:t>
            </w:r>
            <w:r>
              <w:rPr>
                <w:rFonts w:hint="default" w:ascii="Times New Roman" w:hAnsi="Times New Roman" w:eastAsia="仿宋_GB2312" w:cs="Times New Roman"/>
                <w:color w:val="auto"/>
                <w:kern w:val="2"/>
                <w:sz w:val="24"/>
                <w:szCs w:val="24"/>
              </w:rPr>
              <w:t>没有</w:t>
            </w:r>
            <w:r>
              <w:rPr>
                <w:rFonts w:ascii="Times New Roman" w:hAnsi="Times New Roman" w:eastAsia="仿宋_GB2312" w:cs="Times New Roman"/>
                <w:color w:val="auto"/>
                <w:kern w:val="2"/>
                <w:sz w:val="24"/>
                <w:szCs w:val="24"/>
              </w:rPr>
              <w:t>药品上市许可持有人或者</w:t>
            </w:r>
            <w:r>
              <w:rPr>
                <w:rFonts w:hint="default" w:ascii="Times New Roman" w:hAnsi="Times New Roman" w:eastAsia="仿宋_GB2312" w:cs="Times New Roman"/>
                <w:color w:val="auto"/>
                <w:kern w:val="2"/>
                <w:sz w:val="24"/>
                <w:szCs w:val="24"/>
              </w:rPr>
              <w:t>没有</w:t>
            </w:r>
            <w:r>
              <w:rPr>
                <w:rFonts w:ascii="Times New Roman" w:hAnsi="Times New Roman" w:eastAsia="仿宋_GB2312" w:cs="Times New Roman"/>
                <w:color w:val="auto"/>
                <w:kern w:val="2"/>
                <w:sz w:val="24"/>
                <w:szCs w:val="24"/>
              </w:rPr>
              <w:t>药品生产、经营资格的企业购进药品</w:t>
            </w:r>
            <w:r>
              <w:rPr>
                <w:rFonts w:hint="default" w:ascii="Times New Roman" w:hAnsi="Times New Roman" w:eastAsia="仿宋_GB2312" w:cs="Times New Roman"/>
                <w:color w:val="auto"/>
                <w:kern w:val="2"/>
                <w:sz w:val="24"/>
                <w:szCs w:val="24"/>
              </w:rPr>
              <w:t>。</w:t>
            </w:r>
          </w:p>
        </w:tc>
        <w:tc>
          <w:tcPr>
            <w:tcW w:w="4750" w:type="dxa"/>
            <w:noWrap w:val="0"/>
            <w:vAlign w:val="top"/>
          </w:tcPr>
          <w:p w14:paraId="685D3D4F">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31CA2A30">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第五十五条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药品上市许可持有人、药品生产企业、药品经营企业和医疗机构应当从药品上市许可持有人或者具有药品生产、经营资格的企业购进药品；但是，购进未实施审批管理的中药材除外。</w:t>
            </w:r>
          </w:p>
          <w:p w14:paraId="3B377659">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第一百二十九条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违反本法规定，药品上市许可持有人、药品生产企业、药品经营企业或者医疗机构未从药品上市许可持有人或者具有药品生产、经营资格的企业购进药品的，责令改正，没收违法购进的药品和违法所得，并处违法购进药品货值金额二倍以上十倍以下的罚款；情节严重的，并处货值金额十倍以上三十倍以下的罚款，吊销药品批准证明文件、药品生产许可证、药品经营许可证或者医疗机构执业许可证；货值金额不足五万元的，按五万元计算。</w:t>
            </w:r>
          </w:p>
        </w:tc>
        <w:tc>
          <w:tcPr>
            <w:tcW w:w="1196" w:type="dxa"/>
            <w:noWrap w:val="0"/>
            <w:vAlign w:val="center"/>
          </w:tcPr>
          <w:p w14:paraId="1EB8DF79">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EEA6A21">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做好供应商资质审核，确保供应商是具备相应药品生产或经营</w:t>
            </w:r>
            <w:r>
              <w:rPr>
                <w:rFonts w:hint="default" w:ascii="Times New Roman" w:hAnsi="Times New Roman" w:eastAsia="仿宋_GB2312" w:cs="Times New Roman"/>
                <w:color w:val="auto"/>
                <w:kern w:val="2"/>
                <w:sz w:val="24"/>
                <w:szCs w:val="24"/>
              </w:rPr>
              <w:t>资格</w:t>
            </w:r>
            <w:r>
              <w:rPr>
                <w:rFonts w:ascii="Times New Roman" w:hAnsi="Times New Roman" w:eastAsia="仿宋_GB2312" w:cs="Times New Roman"/>
                <w:color w:val="auto"/>
                <w:kern w:val="2"/>
                <w:sz w:val="24"/>
                <w:szCs w:val="24"/>
              </w:rPr>
              <w:t>的企业</w:t>
            </w:r>
            <w:r>
              <w:rPr>
                <w:rFonts w:hint="default" w:ascii="Times New Roman" w:hAnsi="Times New Roman" w:eastAsia="仿宋_GB2312" w:cs="Times New Roman"/>
                <w:color w:val="auto"/>
                <w:kern w:val="2"/>
                <w:sz w:val="24"/>
                <w:szCs w:val="24"/>
              </w:rPr>
              <w:t>。</w:t>
            </w:r>
          </w:p>
        </w:tc>
        <w:tc>
          <w:tcPr>
            <w:tcW w:w="1309" w:type="dxa"/>
            <w:noWrap w:val="0"/>
            <w:vAlign w:val="center"/>
          </w:tcPr>
          <w:p w14:paraId="36A92350">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6196A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90DA4B3">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51</w:t>
            </w:r>
          </w:p>
        </w:tc>
        <w:tc>
          <w:tcPr>
            <w:tcW w:w="1706" w:type="dxa"/>
            <w:noWrap w:val="0"/>
            <w:vAlign w:val="center"/>
          </w:tcPr>
          <w:p w14:paraId="1B47D4CC">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药品经营企业购进药品，应当建立并执行进货检查验收制度</w:t>
            </w:r>
            <w:r>
              <w:rPr>
                <w:rFonts w:hint="default" w:ascii="Times New Roman" w:hAnsi="Times New Roman" w:eastAsia="仿宋_GB2312" w:cs="Times New Roman"/>
                <w:color w:val="auto"/>
                <w:kern w:val="2"/>
                <w:sz w:val="24"/>
                <w:szCs w:val="24"/>
              </w:rPr>
              <w:t>；药品经营企业购销药品，应当有真实、完整的购销记录。</w:t>
            </w:r>
          </w:p>
        </w:tc>
        <w:tc>
          <w:tcPr>
            <w:tcW w:w="2187" w:type="dxa"/>
            <w:noWrap w:val="0"/>
            <w:vAlign w:val="center"/>
          </w:tcPr>
          <w:p w14:paraId="3EF69834">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药品经营企业购进药品，</w:t>
            </w:r>
            <w:r>
              <w:rPr>
                <w:rFonts w:hint="default" w:ascii="Times New Roman" w:hAnsi="Times New Roman" w:eastAsia="仿宋_GB2312" w:cs="Times New Roman"/>
                <w:color w:val="auto"/>
                <w:kern w:val="2"/>
                <w:sz w:val="24"/>
                <w:szCs w:val="24"/>
              </w:rPr>
              <w:t>没有</w:t>
            </w:r>
            <w:r>
              <w:rPr>
                <w:rFonts w:ascii="Times New Roman" w:hAnsi="Times New Roman" w:eastAsia="仿宋_GB2312" w:cs="Times New Roman"/>
                <w:color w:val="auto"/>
                <w:kern w:val="2"/>
                <w:sz w:val="24"/>
                <w:szCs w:val="24"/>
              </w:rPr>
              <w:t>建立并执行进货检查验收制度</w:t>
            </w:r>
            <w:r>
              <w:rPr>
                <w:rFonts w:hint="default" w:ascii="Times New Roman" w:hAnsi="Times New Roman" w:eastAsia="仿宋_GB2312" w:cs="Times New Roman"/>
                <w:color w:val="auto"/>
                <w:kern w:val="2"/>
                <w:sz w:val="24"/>
                <w:szCs w:val="24"/>
              </w:rPr>
              <w:t>；药品经营企业购销药品没有真实、完整的购销记录。</w:t>
            </w:r>
          </w:p>
        </w:tc>
        <w:tc>
          <w:tcPr>
            <w:tcW w:w="4750" w:type="dxa"/>
            <w:noWrap w:val="0"/>
            <w:vAlign w:val="top"/>
          </w:tcPr>
          <w:p w14:paraId="43BBFF7E">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《中华人民共和国药品管理法》</w:t>
            </w:r>
          </w:p>
          <w:p w14:paraId="00C63AAF">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第五十六条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药品经营企业购进药品，应当建立并执行进货检查验收制度，验明药品合格证明和其他标识；不符合规定要求的，不得购进和销售。</w:t>
            </w:r>
          </w:p>
          <w:p w14:paraId="7C068F0E">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第五十七条</w:t>
            </w:r>
            <w:r>
              <w:rPr>
                <w:rFonts w:hint="default" w:ascii="Times New Roman" w:hAnsi="Times New Roman" w:eastAsia="仿宋_GB2312" w:cs="Times New Roman"/>
                <w:b/>
                <w:color w:val="auto"/>
                <w:kern w:val="2"/>
                <w:sz w:val="24"/>
                <w:szCs w:val="24"/>
              </w:rPr>
              <w:t xml:space="preserve"> </w:t>
            </w:r>
            <w:r>
              <w:rPr>
                <w:rFonts w:hint="default" w:ascii="Times New Roman" w:hAnsi="Times New Roman" w:eastAsia="仿宋_GB2312" w:cs="Times New Roman"/>
                <w:color w:val="auto"/>
                <w:kern w:val="2"/>
                <w:sz w:val="24"/>
                <w:szCs w:val="24"/>
              </w:rPr>
              <w:t>药品经营企业购销药品，应当有真实、完整的购销记录。购销记录应当注明药品的通用名称、剂型、规格、产品批号、有效期、上市许可持有人、生产企业、购销单位、购销数量、购销价格、购销日期及国务院药品监督管理部门规定的其他内容。</w:t>
            </w:r>
          </w:p>
          <w:p w14:paraId="054C93C4">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第一百二十六条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除本法另有规定的情形外，药品上市许可持有人、药品生产企业、药品经营企业、药物非临床安全性评价研究机构、药物临床试验机构等未遵守药品生产质量管理规范、药品经营质量管理规范、药物非临床研究质量管理规范、药物临床试验质量管理规范等的，责令限期改正，给予警告；逾期不改正的，处十万元以上五十万元以下的罚款；情节严重的，处五十万元以上二百万元以下的罚款，责令停产停业整顿直至吊销药品批准证明文件、药品生产许可证、药品经营许可证等，药物非临床安全性评价研究机构、药物临床试验机构等五年内不得开展药物非临床安全性评价研究、药物临床试验，对法定代表人、主要负责人、直接负责的主管人员和其他责任人员，没收违法行为发生期间自本单位所获收入，并处所获收入百分之十以上百分之五十以下的罚款，十年直至终身禁止从事药品生产经营等活动。</w:t>
            </w:r>
          </w:p>
          <w:p w14:paraId="0BB216D2">
            <w:pPr>
              <w:spacing w:line="280" w:lineRule="exact"/>
              <w:ind w:firstLine="0" w:firstLineChars="0"/>
              <w:rPr>
                <w:rFonts w:ascii="Times New Roman" w:hAnsi="Times New Roman" w:eastAsia="仿宋_GB2312" w:cs="Times New Roman"/>
                <w:b/>
                <w:color w:val="auto"/>
                <w:kern w:val="2"/>
                <w:sz w:val="24"/>
                <w:szCs w:val="24"/>
              </w:rPr>
            </w:pPr>
            <w:r>
              <w:rPr>
                <w:rFonts w:ascii="Times New Roman" w:hAnsi="Times New Roman" w:eastAsia="仿宋_GB2312" w:cs="Times New Roman"/>
                <w:b/>
                <w:color w:val="auto"/>
                <w:kern w:val="2"/>
                <w:sz w:val="24"/>
                <w:szCs w:val="24"/>
              </w:rPr>
              <w:t>《药品经营质量管理规范》</w:t>
            </w:r>
          </w:p>
          <w:p w14:paraId="09FCF450">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第九十二条 </w:t>
            </w:r>
            <w:r>
              <w:rPr>
                <w:rFonts w:hint="default" w:ascii="Times New Roman" w:hAnsi="Times New Roman" w:eastAsia="仿宋_GB2312" w:cs="Times New Roman"/>
                <w:color w:val="auto"/>
                <w:kern w:val="2"/>
                <w:sz w:val="24"/>
                <w:szCs w:val="24"/>
              </w:rPr>
              <w:t>企业应当做好药品销售记录。销售记录应当包括药品的通用名称、规格、剂型、批号、有效期、生产厂商、购货单位、销售数量、单价、金额、销售日期等内容。按照本规范第六十九条规定进行药品直调的，应当建立专门的销售记录。</w:t>
            </w:r>
          </w:p>
          <w:p w14:paraId="0E53AFEB">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第一百五十二条</w:t>
            </w:r>
            <w:r>
              <w:rPr>
                <w:rFonts w:hint="default" w:ascii="Times New Roman" w:hAnsi="Times New Roman" w:eastAsia="仿宋_GB2312" w:cs="Times New Roman"/>
                <w:b/>
                <w:color w:val="auto"/>
                <w:kern w:val="2"/>
                <w:sz w:val="24"/>
                <w:szCs w:val="24"/>
              </w:rPr>
              <w:t xml:space="preserve"> </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"https://baike.baidu.com/item/%E4%BC%81%E4%B8%9A%E9%87%87%E8%B4%AD/6019803?fromModule=lemma_inlink" \t "_blank" </w:instrText>
            </w:r>
            <w:r>
              <w:rPr>
                <w:rFonts w:ascii="Times New Roman" w:hAnsi="Times New Roman" w:cs="Times New Roman"/>
                <w:sz w:val="24"/>
                <w:szCs w:val="24"/>
              </w:rPr>
              <w:fldChar w:fldCharType="separate"/>
            </w:r>
            <w:r>
              <w:rPr>
                <w:rFonts w:hint="default" w:ascii="Times New Roman" w:hAnsi="Times New Roman" w:eastAsia="仿宋_GB2312" w:cs="Times New Roman"/>
                <w:color w:val="auto"/>
                <w:kern w:val="2"/>
                <w:sz w:val="24"/>
                <w:szCs w:val="24"/>
              </w:rPr>
              <w:t>企业采购</w:t>
            </w:r>
            <w:r>
              <w:rPr>
                <w:rFonts w:hint="default" w:ascii="Times New Roman" w:hAnsi="Times New Roman" w:eastAsia="仿宋_GB2312" w:cs="Times New Roman"/>
                <w:color w:val="auto"/>
                <w:kern w:val="2"/>
                <w:sz w:val="24"/>
                <w:szCs w:val="24"/>
              </w:rPr>
              <w:fldChar w:fldCharType="end"/>
            </w:r>
            <w:r>
              <w:rPr>
                <w:rFonts w:hint="default" w:ascii="Times New Roman" w:hAnsi="Times New Roman" w:eastAsia="仿宋_GB2312" w:cs="Times New Roman"/>
                <w:color w:val="auto"/>
                <w:kern w:val="2"/>
                <w:sz w:val="24"/>
                <w:szCs w:val="24"/>
              </w:rPr>
              <w:t>药品，应当符合本规范第二章第八节的相关规定。</w:t>
            </w:r>
          </w:p>
          <w:p w14:paraId="0E7B8C2E">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第一百六十八条 </w:t>
            </w:r>
            <w:r>
              <w:rPr>
                <w:rFonts w:hint="default" w:ascii="Times New Roman" w:hAnsi="Times New Roman" w:eastAsia="仿宋_GB2312" w:cs="Times New Roman"/>
                <w:color w:val="auto"/>
                <w:kern w:val="2"/>
                <w:sz w:val="24"/>
                <w:szCs w:val="24"/>
              </w:rPr>
              <w:t>企业销售药品应当开具销售凭证，内容包括药品名称、生产厂商、数量、价格、批号、规格等，并做好销售记录。</w:t>
            </w:r>
          </w:p>
        </w:tc>
        <w:tc>
          <w:tcPr>
            <w:tcW w:w="1196" w:type="dxa"/>
            <w:noWrap w:val="0"/>
            <w:vAlign w:val="center"/>
          </w:tcPr>
          <w:p w14:paraId="1C06CE0F">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9C177C1">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药品经营企业购进药品，应当建立并执行进货检查验收制度</w:t>
            </w:r>
            <w:r>
              <w:rPr>
                <w:rFonts w:hint="default" w:ascii="Times New Roman" w:hAnsi="Times New Roman" w:eastAsia="仿宋_GB2312" w:cs="Times New Roman"/>
                <w:color w:val="auto"/>
                <w:kern w:val="2"/>
                <w:sz w:val="24"/>
                <w:szCs w:val="24"/>
              </w:rPr>
              <w:t>；药品经营企业购销药品，应当有真实、完整的购销记录。</w:t>
            </w:r>
          </w:p>
        </w:tc>
        <w:tc>
          <w:tcPr>
            <w:tcW w:w="1309" w:type="dxa"/>
            <w:noWrap w:val="0"/>
            <w:vAlign w:val="center"/>
          </w:tcPr>
          <w:p w14:paraId="03552BED">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1CFEE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0C827E3">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52</w:t>
            </w:r>
          </w:p>
        </w:tc>
        <w:tc>
          <w:tcPr>
            <w:tcW w:w="1706" w:type="dxa"/>
            <w:noWrap w:val="0"/>
            <w:vAlign w:val="center"/>
          </w:tcPr>
          <w:p w14:paraId="7F9C7F01">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按规定凭处方销售处方药</w:t>
            </w:r>
          </w:p>
        </w:tc>
        <w:tc>
          <w:tcPr>
            <w:tcW w:w="2187" w:type="dxa"/>
            <w:noWrap w:val="0"/>
            <w:vAlign w:val="center"/>
          </w:tcPr>
          <w:p w14:paraId="7206085F">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未按规定凭处方销售处方药。</w:t>
            </w:r>
          </w:p>
        </w:tc>
        <w:tc>
          <w:tcPr>
            <w:tcW w:w="4750" w:type="dxa"/>
            <w:noWrap w:val="0"/>
            <w:vAlign w:val="top"/>
          </w:tcPr>
          <w:p w14:paraId="5E9BEEFD">
            <w:pPr>
              <w:spacing w:line="280" w:lineRule="exact"/>
              <w:ind w:firstLine="0" w:firstLineChars="0"/>
              <w:rPr>
                <w:rFonts w:ascii="Times New Roman" w:hAnsi="Times New Roman" w:eastAsia="仿宋_GB2312" w:cs="Times New Roman"/>
                <w:b/>
                <w:color w:val="auto"/>
                <w:kern w:val="2"/>
                <w:sz w:val="24"/>
                <w:szCs w:val="24"/>
              </w:rPr>
            </w:pPr>
            <w:r>
              <w:rPr>
                <w:rFonts w:ascii="Times New Roman" w:hAnsi="Times New Roman" w:eastAsia="仿宋_GB2312" w:cs="Times New Roman"/>
                <w:b/>
                <w:color w:val="auto"/>
                <w:kern w:val="2"/>
                <w:sz w:val="24"/>
                <w:szCs w:val="24"/>
              </w:rPr>
              <w:t>《药品经营和使用质量监督管理办法》</w:t>
            </w:r>
          </w:p>
          <w:p w14:paraId="208F7654">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第四十二条第一款 </w:t>
            </w:r>
            <w:r>
              <w:rPr>
                <w:rFonts w:hint="default" w:ascii="Times New Roman" w:hAnsi="Times New Roman" w:eastAsia="仿宋_GB2312" w:cs="Times New Roman"/>
                <w:color w:val="auto"/>
                <w:kern w:val="2"/>
                <w:sz w:val="24"/>
                <w:szCs w:val="24"/>
              </w:rPr>
              <w:t>药品零售企业应当遵守国家处方药与非处方药分类管理制度，按规定凭处方销售处方药，处方保留不少于五年。</w:t>
            </w:r>
          </w:p>
          <w:p w14:paraId="67E50782">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第七十二条 </w:t>
            </w:r>
            <w:r>
              <w:rPr>
                <w:rFonts w:hint="default" w:ascii="Times New Roman" w:hAnsi="Times New Roman" w:eastAsia="仿宋_GB2312" w:cs="Times New Roman"/>
                <w:color w:val="auto"/>
                <w:kern w:val="2"/>
                <w:sz w:val="24"/>
                <w:szCs w:val="24"/>
              </w:rPr>
              <w:t>药品零售企业有以下情形之一的，由药品监督管理部门责令限期改正；逾期不改正的，处五千元以上五万元以下罚款；造成危害后果的，处五万元以上二十万元以下罚款：</w:t>
            </w:r>
          </w:p>
          <w:p w14:paraId="6D843AD8">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（一）未按规定凭处方销售处方药的；</w:t>
            </w:r>
          </w:p>
          <w:p w14:paraId="3EA6B42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（二）以买药品赠药品或者买商品赠药品等方式向公众直接或者变相赠送处方药、甲类非处方药的；</w:t>
            </w:r>
          </w:p>
          <w:p w14:paraId="2862566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（三）违反本办法第四十二条第五款规定的药师或者药学技术人员管理要求的。</w:t>
            </w:r>
          </w:p>
          <w:p w14:paraId="207ACA96">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50BD7084">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30CAD46">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按规定凭处方销售处方药</w:t>
            </w:r>
          </w:p>
        </w:tc>
        <w:tc>
          <w:tcPr>
            <w:tcW w:w="1309" w:type="dxa"/>
            <w:noWrap w:val="0"/>
            <w:vAlign w:val="center"/>
          </w:tcPr>
          <w:p w14:paraId="2C87FF1C">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1CAC1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8ED08EC">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53</w:t>
            </w:r>
          </w:p>
        </w:tc>
        <w:tc>
          <w:tcPr>
            <w:tcW w:w="1706" w:type="dxa"/>
            <w:noWrap w:val="0"/>
            <w:vAlign w:val="center"/>
          </w:tcPr>
          <w:p w14:paraId="392D1181">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从事第二类、第三类医疗器械生产活动</w:t>
            </w:r>
            <w:r>
              <w:rPr>
                <w:rFonts w:hint="default" w:ascii="Times New Roman" w:hAnsi="Times New Roman" w:eastAsia="仿宋_GB2312" w:cs="Times New Roman"/>
                <w:color w:val="auto"/>
                <w:kern w:val="2"/>
                <w:sz w:val="24"/>
                <w:szCs w:val="24"/>
              </w:rPr>
              <w:t>和</w:t>
            </w:r>
            <w:r>
              <w:rPr>
                <w:rFonts w:ascii="Times New Roman" w:hAnsi="Times New Roman" w:eastAsia="仿宋_GB2312" w:cs="Times New Roman"/>
                <w:color w:val="auto"/>
                <w:kern w:val="2"/>
                <w:sz w:val="24"/>
                <w:szCs w:val="24"/>
              </w:rPr>
              <w:t>第三类医疗器械经营活动</w:t>
            </w:r>
            <w:r>
              <w:rPr>
                <w:rFonts w:hint="default" w:ascii="Times New Roman" w:hAnsi="Times New Roman" w:eastAsia="仿宋_GB2312" w:cs="Times New Roman"/>
                <w:color w:val="auto"/>
                <w:kern w:val="2"/>
                <w:sz w:val="24"/>
                <w:szCs w:val="24"/>
              </w:rPr>
              <w:t>应当取得许可</w:t>
            </w:r>
          </w:p>
          <w:p w14:paraId="30B3650D">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2187" w:type="dxa"/>
            <w:noWrap w:val="0"/>
            <w:vAlign w:val="center"/>
          </w:tcPr>
          <w:p w14:paraId="0424D347">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未经许可从事第二类、第三类医疗器械生产活动</w:t>
            </w:r>
            <w:r>
              <w:rPr>
                <w:rFonts w:hint="default" w:ascii="Times New Roman" w:hAnsi="Times New Roman" w:eastAsia="仿宋_GB2312" w:cs="Times New Roman"/>
                <w:color w:val="auto"/>
                <w:kern w:val="2"/>
                <w:sz w:val="24"/>
                <w:szCs w:val="24"/>
              </w:rPr>
              <w:t>和</w:t>
            </w:r>
            <w:r>
              <w:rPr>
                <w:rFonts w:ascii="Times New Roman" w:hAnsi="Times New Roman" w:eastAsia="仿宋_GB2312" w:cs="Times New Roman"/>
                <w:color w:val="auto"/>
                <w:kern w:val="2"/>
                <w:sz w:val="24"/>
                <w:szCs w:val="24"/>
              </w:rPr>
              <w:t>第三类医疗器械经营活动。</w:t>
            </w:r>
          </w:p>
          <w:p w14:paraId="0937EF2C">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4750" w:type="dxa"/>
            <w:noWrap w:val="0"/>
            <w:vAlign w:val="top"/>
          </w:tcPr>
          <w:p w14:paraId="78B4D959">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《医疗器械监督管理条例》</w:t>
            </w:r>
          </w:p>
          <w:p w14:paraId="6D336FBD">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第十三条</w:t>
            </w:r>
            <w:r>
              <w:rPr>
                <w:rFonts w:hint="default" w:ascii="Times New Roman" w:hAnsi="Times New Roman" w:eastAsia="仿宋_GB2312" w:cs="Times New Roman"/>
                <w:b/>
                <w:color w:val="auto"/>
                <w:kern w:val="2"/>
                <w:sz w:val="24"/>
                <w:szCs w:val="24"/>
              </w:rPr>
              <w:t xml:space="preserve">第一款 </w:t>
            </w:r>
            <w:r>
              <w:rPr>
                <w:rFonts w:ascii="Times New Roman" w:hAnsi="Times New Roman" w:eastAsia="仿宋_GB2312" w:cs="Times New Roman"/>
                <w:color w:val="auto"/>
                <w:kern w:val="2"/>
                <w:sz w:val="24"/>
                <w:szCs w:val="24"/>
              </w:rPr>
              <w:t>第一类医疗器械实行产品备案管理，第二类、第三类医疗器械实行产品注册管理。</w:t>
            </w:r>
          </w:p>
          <w:p w14:paraId="5C8D9013">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第八十一条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有下列情形之一的，由负责药品监督管理的部门没收违法所得、违法生产经营的医疗器械和用于违法生产经营的工具、设备、原材料等物品；违法生产经营的医疗器械货值金额不足1万元的，并处5万元以上15万元以下罚款；货值金额1万元以上的，并处货值金额15倍以上30倍以下罚款；情节严重的，责令停产停业，10年内不受理相关责任人以及单位提出的医疗器械许可申请，对违法单位的法定代表人、主要负责人、直接负责的主管人员和其他责任人员，没收违法行为发生期间自本单位所获收入，并处所获收入30%以上3倍以下罚款，终身禁止其从事医疗器械生产经营活动：</w:t>
            </w:r>
          </w:p>
          <w:p w14:paraId="3800F7B1">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（一）生产、经营未取得医疗器械注册证的第二类、第三类医疗器械；</w:t>
            </w:r>
          </w:p>
          <w:p w14:paraId="1FFB6FC2">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（二）未经许可从事第二类、第三类医疗器械生产活动；</w:t>
            </w:r>
          </w:p>
          <w:p w14:paraId="4B38DB11">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（三）未经许可从事第三类医疗器械经营活动。</w:t>
            </w:r>
          </w:p>
          <w:p w14:paraId="07F17DC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有前款第一项情形、情节严重的，由原发证部门吊销医疗器械生产许可证或者医疗器械经营许可证。</w:t>
            </w:r>
          </w:p>
        </w:tc>
        <w:tc>
          <w:tcPr>
            <w:tcW w:w="1196" w:type="dxa"/>
            <w:noWrap w:val="0"/>
            <w:vAlign w:val="center"/>
          </w:tcPr>
          <w:p w14:paraId="10854163">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61AD2A4">
            <w:pPr>
              <w:spacing w:line="280" w:lineRule="exact"/>
              <w:ind w:firstLine="42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从事第二类、第三类医疗器械生产活动</w:t>
            </w:r>
            <w:r>
              <w:rPr>
                <w:rFonts w:hint="default" w:ascii="Times New Roman" w:hAnsi="Times New Roman" w:eastAsia="仿宋_GB2312" w:cs="Times New Roman"/>
                <w:color w:val="auto"/>
                <w:kern w:val="2"/>
                <w:sz w:val="24"/>
                <w:szCs w:val="24"/>
              </w:rPr>
              <w:t>和</w:t>
            </w:r>
            <w:r>
              <w:rPr>
                <w:rFonts w:ascii="Times New Roman" w:hAnsi="Times New Roman" w:eastAsia="仿宋_GB2312" w:cs="Times New Roman"/>
                <w:color w:val="auto"/>
                <w:kern w:val="2"/>
                <w:sz w:val="24"/>
                <w:szCs w:val="24"/>
              </w:rPr>
              <w:t>第三类医疗器械经营活动</w:t>
            </w:r>
            <w:r>
              <w:rPr>
                <w:rFonts w:hint="default" w:ascii="Times New Roman" w:hAnsi="Times New Roman" w:eastAsia="仿宋_GB2312" w:cs="Times New Roman"/>
                <w:color w:val="auto"/>
                <w:kern w:val="2"/>
                <w:sz w:val="24"/>
                <w:szCs w:val="24"/>
              </w:rPr>
              <w:t>应当取得许可</w:t>
            </w:r>
          </w:p>
          <w:p w14:paraId="3CFF6FF5">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1309" w:type="dxa"/>
            <w:noWrap w:val="0"/>
            <w:vAlign w:val="center"/>
          </w:tcPr>
          <w:p w14:paraId="5048CBEB">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7AD24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AA2EA8F">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54</w:t>
            </w:r>
          </w:p>
        </w:tc>
        <w:tc>
          <w:tcPr>
            <w:tcW w:w="1706" w:type="dxa"/>
            <w:noWrap w:val="0"/>
            <w:vAlign w:val="center"/>
          </w:tcPr>
          <w:p w14:paraId="3A719258">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医疗器械经营企业、使用单位应当建立进货查验记录制度</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从事第二类、第三类医疗器械批发业务以及第三类医疗器械零售业务的经营企业应当建立销售记录制度</w:t>
            </w:r>
          </w:p>
        </w:tc>
        <w:tc>
          <w:tcPr>
            <w:tcW w:w="2187" w:type="dxa"/>
            <w:noWrap w:val="0"/>
            <w:vAlign w:val="center"/>
          </w:tcPr>
          <w:p w14:paraId="63D744FC">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医疗器械经营企业、使用单位</w:t>
            </w:r>
            <w:r>
              <w:rPr>
                <w:rFonts w:hint="default" w:ascii="Times New Roman" w:hAnsi="Times New Roman" w:eastAsia="仿宋_GB2312" w:cs="Times New Roman"/>
                <w:color w:val="auto"/>
                <w:kern w:val="2"/>
                <w:sz w:val="24"/>
                <w:szCs w:val="24"/>
              </w:rPr>
              <w:t>没有</w:t>
            </w:r>
            <w:r>
              <w:rPr>
                <w:rFonts w:ascii="Times New Roman" w:hAnsi="Times New Roman" w:eastAsia="仿宋_GB2312" w:cs="Times New Roman"/>
                <w:color w:val="auto"/>
                <w:kern w:val="2"/>
                <w:sz w:val="24"/>
                <w:szCs w:val="24"/>
              </w:rPr>
              <w:t>建立进货查验记录制度</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从事第二类、第三类医疗器械批发业务以及第三类医疗器械零售业务的经营企业</w:t>
            </w:r>
            <w:r>
              <w:rPr>
                <w:rFonts w:hint="default" w:ascii="Times New Roman" w:hAnsi="Times New Roman" w:eastAsia="仿宋_GB2312" w:cs="Times New Roman"/>
                <w:color w:val="auto"/>
                <w:kern w:val="2"/>
                <w:sz w:val="24"/>
                <w:szCs w:val="24"/>
              </w:rPr>
              <w:t>没有</w:t>
            </w:r>
            <w:r>
              <w:rPr>
                <w:rFonts w:ascii="Times New Roman" w:hAnsi="Times New Roman" w:eastAsia="仿宋_GB2312" w:cs="Times New Roman"/>
                <w:color w:val="auto"/>
                <w:kern w:val="2"/>
                <w:sz w:val="24"/>
                <w:szCs w:val="24"/>
              </w:rPr>
              <w:t>建立销售记录制度</w:t>
            </w:r>
            <w:r>
              <w:rPr>
                <w:rFonts w:hint="default" w:ascii="Times New Roman" w:hAnsi="Times New Roman" w:eastAsia="仿宋_GB2312" w:cs="Times New Roman"/>
                <w:color w:val="auto"/>
                <w:kern w:val="2"/>
                <w:sz w:val="24"/>
                <w:szCs w:val="24"/>
              </w:rPr>
              <w:t>。</w:t>
            </w:r>
          </w:p>
        </w:tc>
        <w:tc>
          <w:tcPr>
            <w:tcW w:w="4750" w:type="dxa"/>
            <w:noWrap w:val="0"/>
            <w:vAlign w:val="top"/>
          </w:tcPr>
          <w:p w14:paraId="3499525D">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《医疗器械监督管理条例》</w:t>
            </w:r>
          </w:p>
          <w:p w14:paraId="34B99609">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第四十五条</w:t>
            </w:r>
            <w:r>
              <w:rPr>
                <w:rFonts w:hint="default" w:ascii="Times New Roman" w:hAnsi="Times New Roman" w:eastAsia="仿宋_GB2312" w:cs="Times New Roman"/>
                <w:b/>
                <w:color w:val="auto"/>
                <w:kern w:val="2"/>
                <w:sz w:val="24"/>
                <w:szCs w:val="24"/>
              </w:rPr>
              <w:t xml:space="preserve">第一款 </w:t>
            </w:r>
            <w:r>
              <w:rPr>
                <w:rFonts w:ascii="Times New Roman" w:hAnsi="Times New Roman" w:eastAsia="仿宋_GB2312" w:cs="Times New Roman"/>
                <w:color w:val="auto"/>
                <w:kern w:val="2"/>
                <w:sz w:val="24"/>
                <w:szCs w:val="24"/>
              </w:rPr>
              <w:t>医疗器械经营企业、使用单位应当从具备合法资质的医疗器械注册人、备案人、生产经营企业购进医疗器械。购进医疗器械时，应当查验供货者的资质和医疗器械的合格证明文件，建立进货查验记录制度。从事第二类、第三类医疗器械批发业务以及第三类医疗器械零售业务的经营企业，还应当建立销售记录制度。</w:t>
            </w:r>
          </w:p>
          <w:p w14:paraId="1DFBA6DD">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第八十九条</w:t>
            </w:r>
            <w:r>
              <w:rPr>
                <w:rFonts w:hint="default" w:ascii="Times New Roman" w:hAnsi="Times New Roman" w:eastAsia="仿宋_GB2312" w:cs="Times New Roman"/>
                <w:b/>
                <w:color w:val="auto"/>
                <w:kern w:val="2"/>
                <w:sz w:val="24"/>
                <w:szCs w:val="24"/>
              </w:rPr>
              <w:t xml:space="preserve">第（三）项、第（四）项 </w:t>
            </w:r>
            <w:r>
              <w:rPr>
                <w:rFonts w:ascii="Times New Roman" w:hAnsi="Times New Roman" w:eastAsia="仿宋_GB2312" w:cs="Times New Roman"/>
                <w:color w:val="auto"/>
                <w:kern w:val="2"/>
                <w:sz w:val="24"/>
                <w:szCs w:val="24"/>
              </w:rPr>
              <w:t>有下列情形之一的，由负责药品监督管理的部门和卫生主管部门依据各自职责责令改正，给予警告；拒不改正的，处1万元以上10万元以下罚款；情节严重的，责令停产停业，直至由原发证部门吊销医疗器械注册证、医疗器械生产许可证、医疗器械经营许可证，对违法单位的法定代表人、主要负责人、直接负责的主管人员和其他责任人员处1万元以上3万元以下罚款：</w:t>
            </w:r>
          </w:p>
          <w:p w14:paraId="7EE7AA32">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（三）医疗器械经营企业、使用单位未依照本条例规定建立并执行医疗器械进货查验记录制度；</w:t>
            </w:r>
          </w:p>
          <w:p w14:paraId="5565FECA">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（四）从事第二类、第三类医疗器械批发业务以及第三类医疗器械零售业务的经营企业未依照本条例规定建立并执行销售记录制度；</w:t>
            </w:r>
          </w:p>
          <w:p w14:paraId="750F4D9F">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354B9F32">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FBDD57D">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医疗器械经营企业、使用单位应当建立进货查验记录制度</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从事第二类、第三类医疗器械批发业务以及第三类医疗器械零售业务的经营企业应当建立销售记录制度</w:t>
            </w:r>
            <w:r>
              <w:rPr>
                <w:rFonts w:hint="default" w:ascii="Times New Roman" w:hAnsi="Times New Roman" w:eastAsia="仿宋_GB2312" w:cs="Times New Roman"/>
                <w:color w:val="auto"/>
                <w:kern w:val="2"/>
                <w:sz w:val="24"/>
                <w:szCs w:val="24"/>
              </w:rPr>
              <w:t>。</w:t>
            </w:r>
          </w:p>
        </w:tc>
        <w:tc>
          <w:tcPr>
            <w:tcW w:w="1309" w:type="dxa"/>
            <w:noWrap w:val="0"/>
            <w:vAlign w:val="center"/>
          </w:tcPr>
          <w:p w14:paraId="27DD3FE3">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5A257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15F58EB0">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55</w:t>
            </w:r>
          </w:p>
        </w:tc>
        <w:tc>
          <w:tcPr>
            <w:tcW w:w="1706" w:type="dxa"/>
            <w:noWrap w:val="0"/>
            <w:vAlign w:val="center"/>
          </w:tcPr>
          <w:p w14:paraId="381F8C29">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医疗器械使用单位</w:t>
            </w:r>
            <w:r>
              <w:rPr>
                <w:rFonts w:hint="default" w:ascii="Times New Roman" w:hAnsi="Times New Roman" w:eastAsia="仿宋_GB2312" w:cs="Times New Roman"/>
                <w:color w:val="auto"/>
                <w:kern w:val="2"/>
                <w:sz w:val="24"/>
                <w:szCs w:val="24"/>
              </w:rPr>
              <w:t>按要</w:t>
            </w:r>
            <w:r>
              <w:rPr>
                <w:rFonts w:ascii="Times New Roman" w:hAnsi="Times New Roman" w:eastAsia="仿宋_GB2312" w:cs="Times New Roman"/>
                <w:color w:val="auto"/>
                <w:kern w:val="2"/>
                <w:sz w:val="24"/>
                <w:szCs w:val="24"/>
              </w:rPr>
              <w:t>对医疗器械</w:t>
            </w:r>
            <w:r>
              <w:rPr>
                <w:rFonts w:hint="default" w:ascii="Times New Roman" w:hAnsi="Times New Roman" w:eastAsia="仿宋_GB2312" w:cs="Times New Roman"/>
                <w:color w:val="auto"/>
                <w:kern w:val="2"/>
                <w:sz w:val="24"/>
                <w:szCs w:val="24"/>
              </w:rPr>
              <w:t>开展</w:t>
            </w:r>
            <w:r>
              <w:rPr>
                <w:rFonts w:ascii="Times New Roman" w:hAnsi="Times New Roman" w:eastAsia="仿宋_GB2312" w:cs="Times New Roman"/>
                <w:color w:val="auto"/>
                <w:kern w:val="2"/>
                <w:sz w:val="24"/>
                <w:szCs w:val="24"/>
              </w:rPr>
              <w:t>定期检查、检验、校准、保养、维护</w:t>
            </w:r>
            <w:r>
              <w:rPr>
                <w:rFonts w:hint="default" w:ascii="Times New Roman" w:hAnsi="Times New Roman" w:eastAsia="仿宋_GB2312" w:cs="Times New Roman"/>
                <w:color w:val="auto"/>
                <w:kern w:val="2"/>
                <w:sz w:val="24"/>
                <w:szCs w:val="24"/>
              </w:rPr>
              <w:t>并予以记录</w:t>
            </w:r>
          </w:p>
        </w:tc>
        <w:tc>
          <w:tcPr>
            <w:tcW w:w="2187" w:type="dxa"/>
            <w:noWrap w:val="0"/>
            <w:vAlign w:val="center"/>
          </w:tcPr>
          <w:p w14:paraId="5EB7B1EE">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医疗器械使用单位对需要定期检查、检验、校准、保养、维护的医疗器械，</w:t>
            </w:r>
            <w:r>
              <w:rPr>
                <w:rFonts w:hint="default" w:ascii="Times New Roman" w:hAnsi="Times New Roman" w:eastAsia="仿宋_GB2312" w:cs="Times New Roman"/>
                <w:color w:val="auto"/>
                <w:kern w:val="2"/>
                <w:sz w:val="24"/>
                <w:szCs w:val="24"/>
              </w:rPr>
              <w:t>没有</w:t>
            </w:r>
            <w:r>
              <w:rPr>
                <w:rFonts w:ascii="Times New Roman" w:hAnsi="Times New Roman" w:eastAsia="仿宋_GB2312" w:cs="Times New Roman"/>
                <w:color w:val="auto"/>
                <w:kern w:val="2"/>
                <w:sz w:val="24"/>
                <w:szCs w:val="24"/>
              </w:rPr>
              <w:t>按照产品说明书的要求进行检查、检验、校准、保养、维护并予以记录</w:t>
            </w:r>
            <w:r>
              <w:rPr>
                <w:rFonts w:hint="default" w:ascii="Times New Roman" w:hAnsi="Times New Roman" w:eastAsia="仿宋_GB2312" w:cs="Times New Roman"/>
                <w:color w:val="auto"/>
                <w:kern w:val="2"/>
                <w:sz w:val="24"/>
                <w:szCs w:val="24"/>
              </w:rPr>
              <w:t>。</w:t>
            </w:r>
          </w:p>
        </w:tc>
        <w:tc>
          <w:tcPr>
            <w:tcW w:w="4750" w:type="dxa"/>
            <w:noWrap w:val="0"/>
            <w:vAlign w:val="top"/>
          </w:tcPr>
          <w:p w14:paraId="341616AF">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《医疗器械监督管理条例》</w:t>
            </w:r>
          </w:p>
          <w:p w14:paraId="438D7C83">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医疗器械使用单位对需要定期检查、检验、校准、保养、维护的医疗器械，应当按照产品说明书的要求进行检查、检验、校准、保养、维护并予以记录，及时进行分析、评估，确保医疗器械处于良好状态，保障使用质量；对使用期限长的大型医疗器械，应当逐台建立使用档案，记录其使用、维护、转让、实际使用时间等事项。记录保存期限不得少于医疗器械规定使用期限终止后5年。</w:t>
            </w:r>
          </w:p>
          <w:p w14:paraId="2FA8153E">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第八十九条</w:t>
            </w:r>
            <w:r>
              <w:rPr>
                <w:rFonts w:hint="default" w:ascii="Times New Roman" w:hAnsi="Times New Roman" w:eastAsia="仿宋_GB2312" w:cs="Times New Roman"/>
                <w:b/>
                <w:color w:val="auto"/>
                <w:kern w:val="2"/>
                <w:sz w:val="24"/>
                <w:szCs w:val="24"/>
              </w:rPr>
              <w:t xml:space="preserve">第（九）项 </w:t>
            </w:r>
            <w:r>
              <w:rPr>
                <w:rFonts w:ascii="Times New Roman" w:hAnsi="Times New Roman" w:eastAsia="仿宋_GB2312" w:cs="Times New Roman"/>
                <w:color w:val="auto"/>
                <w:kern w:val="2"/>
                <w:sz w:val="24"/>
                <w:szCs w:val="24"/>
              </w:rPr>
              <w:t>有下列情形之一的，由负责药品监督管理的部门和卫生主管部门依据各自职责责令改正，给予警告；拒不改正的，处1万元以上10万元以下罚款；情节严重的，责令停产停业，直至由原发证部门吊销医疗器械注册证、医疗器械生产许可证、医疗器械经营许可证，对违法单位的法定代表人、主要负责人、直接负责的主管人员和其他责任人员处1万元以上3万元以下罚款：</w:t>
            </w:r>
          </w:p>
          <w:p w14:paraId="0B370AF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（九）对需要定期检查、检验、校准、保养、维护的医疗器械，医疗器械使用单位未按照产品说明书要求进行检查、检验、校准、保养、维护并予以记录，及时进行分析、评估，确保医疗器械处于良好状态；</w:t>
            </w:r>
          </w:p>
        </w:tc>
        <w:tc>
          <w:tcPr>
            <w:tcW w:w="1196" w:type="dxa"/>
            <w:noWrap w:val="0"/>
            <w:vAlign w:val="center"/>
          </w:tcPr>
          <w:p w14:paraId="2647D446">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71CD660">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医疗器械使用单位</w:t>
            </w:r>
            <w:r>
              <w:rPr>
                <w:rFonts w:hint="default" w:ascii="Times New Roman" w:hAnsi="Times New Roman" w:eastAsia="仿宋_GB2312" w:cs="Times New Roman"/>
                <w:color w:val="auto"/>
                <w:kern w:val="2"/>
                <w:sz w:val="24"/>
                <w:szCs w:val="24"/>
              </w:rPr>
              <w:t>按要</w:t>
            </w:r>
            <w:r>
              <w:rPr>
                <w:rFonts w:ascii="Times New Roman" w:hAnsi="Times New Roman" w:eastAsia="仿宋_GB2312" w:cs="Times New Roman"/>
                <w:color w:val="auto"/>
                <w:kern w:val="2"/>
                <w:sz w:val="24"/>
                <w:szCs w:val="24"/>
              </w:rPr>
              <w:t>对医疗器械</w:t>
            </w:r>
            <w:r>
              <w:rPr>
                <w:rFonts w:hint="default" w:ascii="Times New Roman" w:hAnsi="Times New Roman" w:eastAsia="仿宋_GB2312" w:cs="Times New Roman"/>
                <w:color w:val="auto"/>
                <w:kern w:val="2"/>
                <w:sz w:val="24"/>
                <w:szCs w:val="24"/>
              </w:rPr>
              <w:t>开展</w:t>
            </w:r>
            <w:r>
              <w:rPr>
                <w:rFonts w:ascii="Times New Roman" w:hAnsi="Times New Roman" w:eastAsia="仿宋_GB2312" w:cs="Times New Roman"/>
                <w:color w:val="auto"/>
                <w:kern w:val="2"/>
                <w:sz w:val="24"/>
                <w:szCs w:val="24"/>
              </w:rPr>
              <w:t>定期检查、检验、校准、保养、维护</w:t>
            </w:r>
            <w:r>
              <w:rPr>
                <w:rFonts w:hint="default" w:ascii="Times New Roman" w:hAnsi="Times New Roman" w:eastAsia="仿宋_GB2312" w:cs="Times New Roman"/>
                <w:color w:val="auto"/>
                <w:kern w:val="2"/>
                <w:sz w:val="24"/>
                <w:szCs w:val="24"/>
              </w:rPr>
              <w:t>并予以记录</w:t>
            </w:r>
          </w:p>
        </w:tc>
        <w:tc>
          <w:tcPr>
            <w:tcW w:w="1309" w:type="dxa"/>
            <w:noWrap w:val="0"/>
            <w:vAlign w:val="center"/>
          </w:tcPr>
          <w:p w14:paraId="6A9B9958">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2EF9C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826F7B0">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56</w:t>
            </w:r>
          </w:p>
        </w:tc>
        <w:tc>
          <w:tcPr>
            <w:tcW w:w="1706" w:type="dxa"/>
            <w:noWrap w:val="0"/>
            <w:vAlign w:val="center"/>
          </w:tcPr>
          <w:p w14:paraId="0AEE6EA7">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从事第一类医疗器械生产</w:t>
            </w:r>
            <w:r>
              <w:rPr>
                <w:rFonts w:hint="default" w:ascii="Times New Roman" w:hAnsi="Times New Roman" w:eastAsia="仿宋_GB2312" w:cs="Times New Roman"/>
                <w:color w:val="auto"/>
                <w:kern w:val="2"/>
                <w:sz w:val="24"/>
                <w:szCs w:val="24"/>
              </w:rPr>
              <w:t>经营</w:t>
            </w:r>
            <w:r>
              <w:rPr>
                <w:rFonts w:ascii="Times New Roman" w:hAnsi="Times New Roman" w:eastAsia="仿宋_GB2312" w:cs="Times New Roman"/>
                <w:color w:val="auto"/>
                <w:kern w:val="2"/>
                <w:sz w:val="24"/>
                <w:szCs w:val="24"/>
              </w:rPr>
              <w:t>的企业应按规定办理备案</w:t>
            </w:r>
          </w:p>
        </w:tc>
        <w:tc>
          <w:tcPr>
            <w:tcW w:w="2187" w:type="dxa"/>
            <w:noWrap w:val="0"/>
            <w:vAlign w:val="center"/>
          </w:tcPr>
          <w:p w14:paraId="089FB560">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生产、经营未经备案的第一类医疗器械；</w:t>
            </w:r>
          </w:p>
          <w:p w14:paraId="7D47B62B">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未经备案从事第一类医疗器械生产</w:t>
            </w:r>
            <w:r>
              <w:rPr>
                <w:rFonts w:hint="default" w:ascii="Times New Roman" w:hAnsi="Times New Roman" w:eastAsia="仿宋_GB2312" w:cs="Times New Roman"/>
                <w:color w:val="auto"/>
                <w:kern w:val="2"/>
                <w:sz w:val="24"/>
                <w:szCs w:val="24"/>
              </w:rPr>
              <w:t>。</w:t>
            </w:r>
          </w:p>
          <w:p w14:paraId="0DC92685">
            <w:pPr>
              <w:spacing w:line="280" w:lineRule="exact"/>
              <w:rPr>
                <w:rFonts w:ascii="Times New Roman" w:hAnsi="Times New Roman" w:eastAsia="仿宋_GB2312" w:cs="Times New Roman"/>
                <w:color w:val="auto"/>
                <w:kern w:val="2"/>
                <w:sz w:val="24"/>
                <w:szCs w:val="24"/>
              </w:rPr>
            </w:pPr>
          </w:p>
        </w:tc>
        <w:tc>
          <w:tcPr>
            <w:tcW w:w="4750" w:type="dxa"/>
            <w:noWrap w:val="0"/>
            <w:vAlign w:val="top"/>
          </w:tcPr>
          <w:p w14:paraId="1F28BB1D">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《医疗器械监督管理条例》</w:t>
            </w:r>
          </w:p>
          <w:p w14:paraId="78B65D94">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第十三条</w:t>
            </w:r>
            <w:r>
              <w:rPr>
                <w:rFonts w:hint="default" w:ascii="Times New Roman" w:hAnsi="Times New Roman" w:eastAsia="仿宋_GB2312" w:cs="Times New Roman"/>
                <w:b/>
                <w:color w:val="auto"/>
                <w:kern w:val="2"/>
                <w:sz w:val="24"/>
                <w:szCs w:val="24"/>
              </w:rPr>
              <w:t xml:space="preserve">第一款 </w:t>
            </w:r>
            <w:r>
              <w:rPr>
                <w:rFonts w:ascii="Times New Roman" w:hAnsi="Times New Roman" w:eastAsia="仿宋_GB2312" w:cs="Times New Roman"/>
                <w:color w:val="auto"/>
                <w:kern w:val="2"/>
                <w:sz w:val="24"/>
                <w:szCs w:val="24"/>
              </w:rPr>
              <w:t>第一类医疗器械实行产品备案管理，第二类、第三类医疗器械实行产品注册管理。</w:t>
            </w:r>
          </w:p>
          <w:p w14:paraId="44019A5F">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第八十四条</w:t>
            </w:r>
            <w:r>
              <w:rPr>
                <w:rFonts w:hint="default" w:ascii="Times New Roman" w:hAnsi="Times New Roman" w:eastAsia="仿宋_GB2312" w:cs="Times New Roman"/>
                <w:b/>
                <w:color w:val="auto"/>
                <w:kern w:val="2"/>
                <w:sz w:val="24"/>
                <w:szCs w:val="24"/>
              </w:rPr>
              <w:t xml:space="preserve">第（一）项、第（二）项 </w:t>
            </w:r>
            <w:r>
              <w:rPr>
                <w:rFonts w:ascii="Times New Roman" w:hAnsi="Times New Roman" w:eastAsia="仿宋_GB2312" w:cs="Times New Roman"/>
                <w:color w:val="auto"/>
                <w:kern w:val="2"/>
                <w:sz w:val="24"/>
                <w:szCs w:val="24"/>
              </w:rPr>
              <w:t>有下列情形之一的，由负责药品监督管理的部门向社会公告单位和产品名称，责令限期改正；逾期不改正的，没收违法所得、违法生产经营的医疗器械；违法生产经营的医疗器械货值金额不足1万元的，并处1万元以上5万元以下罚款；货值金额1万元以上的，并处货值金额5倍以上20倍以下罚款；情节严重的，对违法单位的法定代表人、主要负责人、直接负责的主管人员和其他责任人员，没收违法行为发生期间自本单位所获收入，并处所获收入30%以上2倍以下罚款，5年内禁止其从事医疗器械生产经营活动：</w:t>
            </w:r>
          </w:p>
          <w:p w14:paraId="12EA1870">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（一）生产、经营未经备案的第一类医疗器械；</w:t>
            </w:r>
          </w:p>
          <w:p w14:paraId="69F53D94">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（二）未经备案从事第一类医疗器械生产；</w:t>
            </w:r>
          </w:p>
          <w:p w14:paraId="5BF5801F">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4FE4C76C">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98C0CB0">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生产、经营第一类医疗器械</w:t>
            </w:r>
            <w:r>
              <w:rPr>
                <w:rFonts w:hint="default" w:ascii="Times New Roman" w:hAnsi="Times New Roman" w:eastAsia="仿宋_GB2312" w:cs="Times New Roman"/>
                <w:color w:val="auto"/>
                <w:kern w:val="2"/>
                <w:sz w:val="24"/>
                <w:szCs w:val="24"/>
              </w:rPr>
              <w:t>应当备案</w:t>
            </w:r>
            <w:r>
              <w:rPr>
                <w:rFonts w:ascii="Times New Roman" w:hAnsi="Times New Roman" w:eastAsia="仿宋_GB2312" w:cs="Times New Roman"/>
                <w:color w:val="auto"/>
                <w:kern w:val="2"/>
                <w:sz w:val="24"/>
                <w:szCs w:val="24"/>
              </w:rPr>
              <w:t>；</w:t>
            </w:r>
          </w:p>
          <w:p w14:paraId="1FCEA5D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w:t>
            </w:r>
            <w:r>
              <w:rPr>
                <w:rFonts w:hint="default" w:ascii="Times New Roman" w:hAnsi="Times New Roman" w:eastAsia="仿宋_GB2312" w:cs="Times New Roman"/>
                <w:color w:val="auto"/>
                <w:kern w:val="2"/>
                <w:sz w:val="24"/>
                <w:szCs w:val="24"/>
              </w:rPr>
              <w:t>、</w:t>
            </w:r>
            <w:r>
              <w:rPr>
                <w:rFonts w:ascii="Times New Roman" w:hAnsi="Times New Roman" w:eastAsia="仿宋_GB2312" w:cs="Times New Roman"/>
                <w:color w:val="auto"/>
                <w:kern w:val="2"/>
                <w:sz w:val="24"/>
                <w:szCs w:val="24"/>
              </w:rPr>
              <w:t>从事第一类医疗器械生产</w:t>
            </w:r>
            <w:r>
              <w:rPr>
                <w:rFonts w:hint="default" w:ascii="Times New Roman" w:hAnsi="Times New Roman" w:eastAsia="仿宋_GB2312" w:cs="Times New Roman"/>
                <w:color w:val="auto"/>
                <w:kern w:val="2"/>
                <w:sz w:val="24"/>
                <w:szCs w:val="24"/>
              </w:rPr>
              <w:t>应当备案。</w:t>
            </w:r>
          </w:p>
          <w:p w14:paraId="74B2ADA4">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1309" w:type="dxa"/>
            <w:noWrap w:val="0"/>
            <w:vAlign w:val="center"/>
          </w:tcPr>
          <w:p w14:paraId="73D2BE1A">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4553C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3290FE8">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57</w:t>
            </w:r>
          </w:p>
        </w:tc>
        <w:tc>
          <w:tcPr>
            <w:tcW w:w="1706" w:type="dxa"/>
            <w:noWrap w:val="0"/>
            <w:vAlign w:val="center"/>
          </w:tcPr>
          <w:p w14:paraId="419257CC">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化妆品经营者应当建立并执行进货查验记录制度</w:t>
            </w:r>
          </w:p>
        </w:tc>
        <w:tc>
          <w:tcPr>
            <w:tcW w:w="2187" w:type="dxa"/>
            <w:noWrap w:val="0"/>
            <w:vAlign w:val="center"/>
          </w:tcPr>
          <w:p w14:paraId="16468687">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化妆品经营者没有建立并执行进货查验记录制度</w:t>
            </w:r>
          </w:p>
        </w:tc>
        <w:tc>
          <w:tcPr>
            <w:tcW w:w="4750" w:type="dxa"/>
            <w:noWrap w:val="0"/>
            <w:vAlign w:val="top"/>
          </w:tcPr>
          <w:p w14:paraId="5A732046">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《化妆品监督管理条例》</w:t>
            </w:r>
          </w:p>
          <w:p w14:paraId="78B4CF5E">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第三十一条第一款 </w:t>
            </w:r>
            <w:r>
              <w:rPr>
                <w:rFonts w:hint="default" w:ascii="Times New Roman" w:hAnsi="Times New Roman" w:eastAsia="仿宋_GB2312" w:cs="Times New Roman"/>
                <w:color w:val="auto"/>
                <w:kern w:val="2"/>
                <w:sz w:val="24"/>
                <w:szCs w:val="24"/>
              </w:rPr>
              <w:t>化妆品注册人、备案人、受托生产企业应当建立并执行原料以及直接接触化妆品的包装材料进货查验记录制度、产品销售记录制度。进货查验记录和产品销售记录应当真实、完整，保证可追溯，保存期限不得少于产品使用期限届满后1年；产品使用期限不足1年的，记录保存期限不得少于2年。</w:t>
            </w:r>
          </w:p>
          <w:p w14:paraId="60ADA1F7">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第三十八条第一款 </w:t>
            </w:r>
            <w:r>
              <w:rPr>
                <w:rFonts w:hint="default" w:ascii="Times New Roman" w:hAnsi="Times New Roman" w:eastAsia="仿宋_GB2312" w:cs="Times New Roman"/>
                <w:color w:val="auto"/>
                <w:kern w:val="2"/>
                <w:sz w:val="24"/>
                <w:szCs w:val="24"/>
              </w:rPr>
              <w:t>化妆品经营者应当建立并执行进货查验记录制度，查验供货者的市场主体登记证明、化妆品注册或者备案情况、产品出厂检验合格证明，如实记录并保存相关凭证。记录和凭证保存期限应当符合本条例第三十一条第一款的规定。</w:t>
            </w:r>
          </w:p>
          <w:p w14:paraId="75CB8611">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第六十二条第一款第（二）项 </w:t>
            </w:r>
            <w:r>
              <w:rPr>
                <w:rFonts w:hint="default" w:ascii="Times New Roman" w:hAnsi="Times New Roman" w:eastAsia="仿宋_GB2312" w:cs="Times New Roman"/>
                <w:color w:val="auto"/>
                <w:kern w:val="2"/>
                <w:sz w:val="24"/>
                <w:szCs w:val="24"/>
              </w:rPr>
              <w:t>有下列情形之一的，由负责药品监督管理的部门责令改正，给予警告，并处1万元以上3万元以下罚款；情节严重的，责令停产停业，并处3万元以上5万元以下罚款，对违法单位的法定代表人或者主要负责人、直接负责的主管人员和其他直接责任人员处1万元以上3万元以下罚款：</w:t>
            </w:r>
          </w:p>
          <w:p w14:paraId="1AC0E793">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（二）未依照本条例规定建立并执行进货查验记录制度、产品销售记录制度；</w:t>
            </w:r>
          </w:p>
        </w:tc>
        <w:tc>
          <w:tcPr>
            <w:tcW w:w="1196" w:type="dxa"/>
            <w:noWrap w:val="0"/>
            <w:vAlign w:val="center"/>
          </w:tcPr>
          <w:p w14:paraId="5DCDA6E4">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48B385F">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化妆品经营者应当建立并执行进货查验记录制度</w:t>
            </w:r>
          </w:p>
        </w:tc>
        <w:tc>
          <w:tcPr>
            <w:tcW w:w="1309" w:type="dxa"/>
            <w:noWrap w:val="0"/>
            <w:vAlign w:val="center"/>
          </w:tcPr>
          <w:p w14:paraId="5E9D4FEC">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601CE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8EC4998">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58</w:t>
            </w:r>
          </w:p>
        </w:tc>
        <w:tc>
          <w:tcPr>
            <w:tcW w:w="1706" w:type="dxa"/>
            <w:noWrap w:val="0"/>
            <w:vAlign w:val="center"/>
          </w:tcPr>
          <w:p w14:paraId="06A6B275">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上市销售、经营或者进口普通化妆品应当经过备案</w:t>
            </w:r>
          </w:p>
        </w:tc>
        <w:tc>
          <w:tcPr>
            <w:tcW w:w="2187" w:type="dxa"/>
            <w:noWrap w:val="0"/>
            <w:vAlign w:val="center"/>
          </w:tcPr>
          <w:p w14:paraId="640281DB">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上市销售、经营或者进口未备案的普通化妆品</w:t>
            </w:r>
          </w:p>
        </w:tc>
        <w:tc>
          <w:tcPr>
            <w:tcW w:w="4750" w:type="dxa"/>
            <w:noWrap w:val="0"/>
            <w:vAlign w:val="top"/>
          </w:tcPr>
          <w:p w14:paraId="24BDC0EE">
            <w:pPr>
              <w:spacing w:line="280" w:lineRule="exact"/>
              <w:rPr>
                <w:rFonts w:ascii="Times New Roman" w:hAnsi="Times New Roman" w:eastAsia="黑体" w:cs="Times New Roman"/>
                <w:sz w:val="24"/>
                <w:szCs w:val="24"/>
              </w:rPr>
            </w:pPr>
            <w:r>
              <w:rPr>
                <w:rFonts w:hint="default" w:ascii="Times New Roman" w:hAnsi="Times New Roman" w:eastAsia="仿宋_GB2312" w:cs="Times New Roman"/>
                <w:b/>
                <w:color w:val="auto"/>
                <w:kern w:val="2"/>
                <w:sz w:val="24"/>
                <w:szCs w:val="24"/>
              </w:rPr>
              <w:t>《化妆品监督管理条例》</w:t>
            </w:r>
          </w:p>
          <w:p w14:paraId="16C3F955">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第六十一条第一款第（一）项 </w:t>
            </w:r>
            <w:r>
              <w:rPr>
                <w:rFonts w:hint="default" w:ascii="Times New Roman" w:hAnsi="Times New Roman" w:eastAsia="仿宋_GB2312" w:cs="Times New Roman"/>
                <w:color w:val="auto"/>
                <w:kern w:val="2"/>
                <w:sz w:val="24"/>
                <w:szCs w:val="24"/>
              </w:rPr>
              <w:t>有下列情形之一的，由负责药品监督管理的部门没收违法所得、违法生产经营的化妆品，并可以没收专门用于违法生产经营的原料、包装材料、工具、设备等物品；违法生产经营的化妆品货值金额不足1万元的，并处1万元以上3万元以下罚款；货值金额1万元以上的，并处货值金额3倍以上10倍以下罚款；情节严重的，责令停产停业、由备案部门取消备案或者由原发证部门吊销化妆品许可证件，对违法单位的法定代表人或者主要负责人、直接负责的主管人员和其他直接责任人员处以其上一年度从本单位取得收入的1倍以上2倍以下罚款，5年内禁止其从事化妆品生产经营活动：</w:t>
            </w:r>
          </w:p>
          <w:p w14:paraId="3E1A497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（一）上市销售、经营或者进口未备案的普通化妆品；</w:t>
            </w:r>
          </w:p>
        </w:tc>
        <w:tc>
          <w:tcPr>
            <w:tcW w:w="1196" w:type="dxa"/>
            <w:noWrap w:val="0"/>
            <w:vAlign w:val="center"/>
          </w:tcPr>
          <w:p w14:paraId="784ED5B5">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B903592">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上市销售、经营或者进口普通化妆品应当经过备案</w:t>
            </w:r>
          </w:p>
        </w:tc>
        <w:tc>
          <w:tcPr>
            <w:tcW w:w="1309" w:type="dxa"/>
            <w:noWrap w:val="0"/>
            <w:vAlign w:val="center"/>
          </w:tcPr>
          <w:p w14:paraId="1321CDFC">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72502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4FC3EB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59</w:t>
            </w:r>
          </w:p>
        </w:tc>
        <w:tc>
          <w:tcPr>
            <w:tcW w:w="1706" w:type="dxa"/>
            <w:noWrap w:val="0"/>
            <w:vAlign w:val="center"/>
          </w:tcPr>
          <w:p w14:paraId="5DD8B294">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生产经营的化妆品的标签应当符合规定</w:t>
            </w:r>
          </w:p>
        </w:tc>
        <w:tc>
          <w:tcPr>
            <w:tcW w:w="2187" w:type="dxa"/>
            <w:noWrap w:val="0"/>
            <w:vAlign w:val="center"/>
          </w:tcPr>
          <w:p w14:paraId="6A536917">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化妆品没有标签或者标签不符合相关法律、行政法规、强制性国家标准，内容不真实、不完整、不准确。</w:t>
            </w:r>
          </w:p>
          <w:p w14:paraId="7AF164FD">
            <w:pPr>
              <w:spacing w:line="280" w:lineRule="exact"/>
              <w:rPr>
                <w:rFonts w:ascii="Times New Roman" w:hAnsi="Times New Roman" w:eastAsia="仿宋_GB2312" w:cs="Times New Roman"/>
                <w:color w:val="auto"/>
                <w:kern w:val="2"/>
                <w:sz w:val="24"/>
                <w:szCs w:val="24"/>
              </w:rPr>
            </w:pPr>
          </w:p>
        </w:tc>
        <w:tc>
          <w:tcPr>
            <w:tcW w:w="4750" w:type="dxa"/>
            <w:noWrap w:val="0"/>
            <w:vAlign w:val="top"/>
          </w:tcPr>
          <w:p w14:paraId="34DFEADD">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《化妆品监督管理条例》</w:t>
            </w:r>
          </w:p>
          <w:p w14:paraId="0FCFD331">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第三十五条 </w:t>
            </w:r>
            <w:r>
              <w:rPr>
                <w:rFonts w:hint="default" w:ascii="Times New Roman" w:hAnsi="Times New Roman" w:eastAsia="仿宋_GB2312" w:cs="Times New Roman"/>
                <w:color w:val="auto"/>
                <w:kern w:val="2"/>
                <w:sz w:val="24"/>
                <w:szCs w:val="24"/>
              </w:rPr>
              <w:t>化妆品的最小销售单元应当有标签。标签应当符合相关法律、行政法规、强制性国家标准，内容真实、完整、准确。</w:t>
            </w:r>
          </w:p>
          <w:p w14:paraId="3A5D408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进口化妆品可以直接使用中文标签，也可以加贴中文标签；加贴中文标签的，中文标签内容应当与原标签内容一致。</w:t>
            </w:r>
          </w:p>
          <w:p w14:paraId="23BDBBC6">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第六十一条第一款第（五）项 </w:t>
            </w:r>
            <w:r>
              <w:rPr>
                <w:rFonts w:hint="default" w:ascii="Times New Roman" w:hAnsi="Times New Roman" w:eastAsia="仿宋_GB2312" w:cs="Times New Roman"/>
                <w:color w:val="auto"/>
                <w:kern w:val="2"/>
                <w:sz w:val="24"/>
                <w:szCs w:val="24"/>
              </w:rPr>
              <w:t>有下列情形之一的，由负责药品监督管理的部门没收违法所得、违法生产经营的化妆品，并可以没收专门用于违法生产经营的原料、包装材料、工具、设备等物品；违法生产经营的化妆品货值金额不足1万元的，并处1万元以上3万元以下罚款；货值金额1万元以上的，并处货值金额3倍以上10倍以下罚款；情节严重的，责令停产停业、由备案部门取消备案或者由原发证部门吊销化妆品许可证件，对违法单位的法定代表人或者主要负责人、直接负责的主管人员和其他直接责任人员处以其上一年度从本单位取得收入的1倍以上2倍以下罚款，5年内禁止其从事化妆品生产经营活动：</w:t>
            </w:r>
          </w:p>
          <w:p w14:paraId="24DA29E3">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（五）生产经营标签不符合本条例规定的化妆品。</w:t>
            </w:r>
          </w:p>
        </w:tc>
        <w:tc>
          <w:tcPr>
            <w:tcW w:w="1196" w:type="dxa"/>
            <w:noWrap w:val="0"/>
            <w:vAlign w:val="center"/>
          </w:tcPr>
          <w:p w14:paraId="5FEEC628">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D9CD7F4">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化妆品的最小销售单元应当有标签。标签应当符合相关法律、行政法规、强制性国家标准，内容真实、完整、准确。</w:t>
            </w:r>
          </w:p>
        </w:tc>
        <w:tc>
          <w:tcPr>
            <w:tcW w:w="1309" w:type="dxa"/>
            <w:noWrap w:val="0"/>
            <w:vAlign w:val="center"/>
          </w:tcPr>
          <w:p w14:paraId="06200AF7">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药</w:t>
            </w:r>
            <w:r>
              <w:rPr>
                <w:rFonts w:hint="default" w:ascii="Times New Roman" w:hAnsi="Times New Roman" w:cs="Times New Roman"/>
                <w:color w:val="auto"/>
                <w:kern w:val="2"/>
                <w:sz w:val="24"/>
                <w:szCs w:val="24"/>
                <w:lang w:val="en-US" w:eastAsia="zh-CN"/>
              </w:rPr>
              <w:t>妆医械股</w:t>
            </w:r>
          </w:p>
        </w:tc>
      </w:tr>
      <w:tr w14:paraId="59808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0D2AC53E">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60</w:t>
            </w:r>
          </w:p>
        </w:tc>
        <w:tc>
          <w:tcPr>
            <w:tcW w:w="1706" w:type="dxa"/>
            <w:noWrap w:val="0"/>
            <w:vAlign w:val="center"/>
          </w:tcPr>
          <w:p w14:paraId="523E1C0E">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特种设备使用单位应当使用取得许可生产并经检验合格的特种设备。禁止使用国家明令淘汰和已经报废的特种设备。不得使用未经定期检验或者检验不合格的特种设备</w:t>
            </w:r>
          </w:p>
        </w:tc>
        <w:tc>
          <w:tcPr>
            <w:tcW w:w="2187" w:type="dxa"/>
            <w:noWrap w:val="0"/>
            <w:vAlign w:val="center"/>
          </w:tcPr>
          <w:p w14:paraId="50F4F2DC">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特种设备使用单位使用未取得许可生产并经检验合格的特种设备。使用国家明令淘汰和已经报废的特种设备。使用未经定期检验或者检验不合格的特种设备。</w:t>
            </w:r>
          </w:p>
        </w:tc>
        <w:tc>
          <w:tcPr>
            <w:tcW w:w="4750" w:type="dxa"/>
            <w:noWrap w:val="0"/>
            <w:vAlign w:val="top"/>
          </w:tcPr>
          <w:p w14:paraId="6022B7EE">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《中华人民共和国特种设备安全法》</w:t>
            </w:r>
          </w:p>
          <w:p w14:paraId="10B91CB8">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第三十二条 </w:t>
            </w:r>
            <w:r>
              <w:rPr>
                <w:rFonts w:hint="default" w:ascii="Times New Roman" w:hAnsi="Times New Roman" w:eastAsia="仿宋_GB2312" w:cs="Times New Roman"/>
                <w:color w:val="auto"/>
                <w:kern w:val="2"/>
                <w:sz w:val="24"/>
                <w:szCs w:val="24"/>
              </w:rPr>
              <w:t>特种设备使用单位应当使用取得许可生产并经检验合格的特种设备。</w:t>
            </w:r>
          </w:p>
          <w:p w14:paraId="683576C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禁止使用国家明令淘汰和已经报废的特种设备。</w:t>
            </w:r>
          </w:p>
          <w:p w14:paraId="31884571">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第四十条 </w:t>
            </w:r>
            <w:r>
              <w:rPr>
                <w:rFonts w:hint="default" w:ascii="Times New Roman" w:hAnsi="Times New Roman" w:eastAsia="仿宋_GB2312" w:cs="Times New Roman"/>
                <w:color w:val="auto"/>
                <w:kern w:val="2"/>
                <w:sz w:val="24"/>
                <w:szCs w:val="24"/>
              </w:rPr>
              <w:t>未经定期检验或者检验不合格的特种设备，不得继续使用。</w:t>
            </w:r>
          </w:p>
          <w:p w14:paraId="707360EB">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第八十四条第《一》项 </w:t>
            </w:r>
            <w:r>
              <w:rPr>
                <w:rFonts w:hint="default" w:ascii="Times New Roman" w:hAnsi="Times New Roman" w:eastAsia="仿宋_GB2312" w:cs="Times New Roman"/>
                <w:color w:val="auto"/>
                <w:kern w:val="2"/>
                <w:sz w:val="24"/>
                <w:szCs w:val="24"/>
              </w:rPr>
              <w:t>违反本法规定，特种设备使用单位有下列行为之一的，责令停止使用有关特种设备，处三万元以上三十万元以下罚款:</w:t>
            </w:r>
          </w:p>
          <w:p w14:paraId="0E35366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（一）使用未取得许可生产，未经检验或者检验不合格的特种设备，或者国家明令淘汰、已经报废的特种设备的；</w:t>
            </w:r>
          </w:p>
        </w:tc>
        <w:tc>
          <w:tcPr>
            <w:tcW w:w="1196" w:type="dxa"/>
            <w:noWrap w:val="0"/>
            <w:vAlign w:val="center"/>
          </w:tcPr>
          <w:p w14:paraId="5D95A105">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38EB562B">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特种设备使用单位应当使用取得许可生产并经检验合格的特种设备。禁止使用国家明令淘汰和已经报废的特种设备。不得使用未经定期检验或者检验不合格的特种设备。</w:t>
            </w:r>
          </w:p>
        </w:tc>
        <w:tc>
          <w:tcPr>
            <w:tcW w:w="1309" w:type="dxa"/>
            <w:noWrap w:val="0"/>
            <w:vAlign w:val="center"/>
          </w:tcPr>
          <w:p w14:paraId="05BBC895">
            <w:pPr>
              <w:spacing w:line="280" w:lineRule="exact"/>
              <w:ind w:left="150" w:leftChars="50"/>
              <w:jc w:val="center"/>
              <w:rPr>
                <w:rFonts w:hint="default" w:ascii="Times New Roman" w:hAnsi="Times New Roman" w:eastAsia="仿宋_GB2312" w:cs="Times New Roman"/>
                <w:color w:val="auto"/>
                <w:kern w:val="2"/>
                <w:sz w:val="24"/>
                <w:szCs w:val="24"/>
                <w:lang w:eastAsia="zh-CN"/>
              </w:rPr>
            </w:pPr>
            <w:r>
              <w:rPr>
                <w:rFonts w:hint="default" w:ascii="Times New Roman" w:hAnsi="Times New Roman" w:eastAsia="仿宋_GB2312" w:cs="Times New Roman"/>
                <w:color w:val="auto"/>
                <w:kern w:val="2"/>
                <w:sz w:val="24"/>
                <w:szCs w:val="24"/>
                <w:lang w:eastAsia="zh-CN"/>
              </w:rPr>
              <w:t>特种设备</w:t>
            </w:r>
            <w:r>
              <w:rPr>
                <w:rFonts w:hint="default" w:ascii="Times New Roman" w:hAnsi="Times New Roman" w:cs="Times New Roman"/>
                <w:color w:val="auto"/>
                <w:kern w:val="2"/>
                <w:sz w:val="24"/>
                <w:szCs w:val="24"/>
                <w:lang w:val="en-US" w:eastAsia="zh-CN"/>
              </w:rPr>
              <w:t>监察股</w:t>
            </w:r>
          </w:p>
        </w:tc>
      </w:tr>
      <w:tr w14:paraId="0EEC7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EE42B10">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61</w:t>
            </w:r>
          </w:p>
        </w:tc>
        <w:tc>
          <w:tcPr>
            <w:tcW w:w="1706" w:type="dxa"/>
            <w:noWrap w:val="0"/>
            <w:vAlign w:val="center"/>
          </w:tcPr>
          <w:p w14:paraId="52BD4E99">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使用特种设备应当按照规定办理使用登记</w:t>
            </w:r>
          </w:p>
        </w:tc>
        <w:tc>
          <w:tcPr>
            <w:tcW w:w="2187" w:type="dxa"/>
            <w:noWrap w:val="0"/>
            <w:vAlign w:val="center"/>
          </w:tcPr>
          <w:p w14:paraId="320C3129">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使用特种设备未按照规定办理使用登记。</w:t>
            </w:r>
          </w:p>
        </w:tc>
        <w:tc>
          <w:tcPr>
            <w:tcW w:w="4750" w:type="dxa"/>
            <w:noWrap w:val="0"/>
            <w:vAlign w:val="top"/>
          </w:tcPr>
          <w:p w14:paraId="3952F9E2">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《中华人民共和国特种设备安全法》</w:t>
            </w:r>
          </w:p>
          <w:p w14:paraId="12FDCC38">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第三十三条 </w:t>
            </w:r>
            <w:r>
              <w:rPr>
                <w:rFonts w:hint="default" w:ascii="Times New Roman" w:hAnsi="Times New Roman" w:eastAsia="仿宋_GB2312" w:cs="Times New Roman"/>
                <w:color w:val="auto"/>
                <w:kern w:val="2"/>
                <w:sz w:val="24"/>
                <w:szCs w:val="24"/>
              </w:rPr>
              <w:t>特种设备使用单位应当在特种设备投入使用前或者投入使用后三十日内，向负责特种设备安全监督管理的部门办理使用登记，取得使用登记证书。登记标志应当置于该特种设备的显著位置。</w:t>
            </w:r>
          </w:p>
          <w:p w14:paraId="0F059868">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第八十三条 </w:t>
            </w:r>
            <w:r>
              <w:rPr>
                <w:rFonts w:hint="default" w:ascii="Times New Roman" w:hAnsi="Times New Roman" w:eastAsia="仿宋_GB2312" w:cs="Times New Roman"/>
                <w:color w:val="auto"/>
                <w:kern w:val="2"/>
                <w:sz w:val="24"/>
                <w:szCs w:val="24"/>
              </w:rPr>
              <w:t>违反本法规定，特种设备使用单位有下列行为之一的，责令限期改正；逾期未改正的，责令停止使用有关特种设备，处一万元以上十万元以下罚款:</w:t>
            </w:r>
          </w:p>
          <w:p w14:paraId="0184EB1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（一）使用特种设备未按照规定办理使用登记的；</w:t>
            </w:r>
          </w:p>
        </w:tc>
        <w:tc>
          <w:tcPr>
            <w:tcW w:w="1196" w:type="dxa"/>
            <w:noWrap w:val="0"/>
            <w:vAlign w:val="center"/>
          </w:tcPr>
          <w:p w14:paraId="06C0A68C">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1E672E7">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使用特种设备应当按照规定办理使用登记。</w:t>
            </w:r>
          </w:p>
        </w:tc>
        <w:tc>
          <w:tcPr>
            <w:tcW w:w="1309" w:type="dxa"/>
            <w:noWrap w:val="0"/>
            <w:vAlign w:val="center"/>
          </w:tcPr>
          <w:p w14:paraId="734C1446">
            <w:pPr>
              <w:spacing w:line="280" w:lineRule="exact"/>
              <w:ind w:left="150" w:leftChars="50"/>
              <w:jc w:val="center"/>
              <w:rPr>
                <w:rFonts w:hint="default" w:ascii="Times New Roman" w:hAnsi="Times New Roman" w:eastAsia="仿宋_GB2312" w:cs="Times New Roman"/>
                <w:color w:val="auto"/>
                <w:kern w:val="2"/>
                <w:sz w:val="24"/>
                <w:szCs w:val="24"/>
                <w:lang w:eastAsia="zh-CN"/>
              </w:rPr>
            </w:pPr>
            <w:r>
              <w:rPr>
                <w:rFonts w:hint="default" w:ascii="Times New Roman" w:hAnsi="Times New Roman" w:eastAsia="仿宋_GB2312" w:cs="Times New Roman"/>
                <w:color w:val="auto"/>
                <w:kern w:val="2"/>
                <w:sz w:val="24"/>
                <w:szCs w:val="24"/>
                <w:lang w:eastAsia="zh-CN"/>
              </w:rPr>
              <w:t>特种设备</w:t>
            </w:r>
            <w:r>
              <w:rPr>
                <w:rFonts w:hint="default" w:ascii="Times New Roman" w:hAnsi="Times New Roman" w:cs="Times New Roman"/>
                <w:color w:val="auto"/>
                <w:kern w:val="2"/>
                <w:sz w:val="24"/>
                <w:szCs w:val="24"/>
                <w:lang w:val="en-US" w:eastAsia="zh-CN"/>
              </w:rPr>
              <w:t>监察股</w:t>
            </w:r>
          </w:p>
        </w:tc>
      </w:tr>
      <w:tr w14:paraId="76AF7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8E5793A">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62</w:t>
            </w:r>
          </w:p>
        </w:tc>
        <w:tc>
          <w:tcPr>
            <w:tcW w:w="1706" w:type="dxa"/>
            <w:noWrap w:val="0"/>
            <w:vAlign w:val="center"/>
          </w:tcPr>
          <w:p w14:paraId="340747E4">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特种设备使用单位应当建立特种设备安全技术档案</w:t>
            </w:r>
          </w:p>
        </w:tc>
        <w:tc>
          <w:tcPr>
            <w:tcW w:w="2187" w:type="dxa"/>
            <w:noWrap w:val="0"/>
            <w:vAlign w:val="center"/>
          </w:tcPr>
          <w:p w14:paraId="0154FD68">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未建立特种设备安全技术档案或者安全技术档案不符合规定要求，或者未依法设置使用登记标志、定期检验标志。</w:t>
            </w:r>
          </w:p>
        </w:tc>
        <w:tc>
          <w:tcPr>
            <w:tcW w:w="4750" w:type="dxa"/>
            <w:noWrap w:val="0"/>
            <w:vAlign w:val="top"/>
          </w:tcPr>
          <w:p w14:paraId="317AFAC0">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《中华人民共和国特种设备安全法》</w:t>
            </w:r>
          </w:p>
          <w:p w14:paraId="4EB407DA">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第三十五条 </w:t>
            </w:r>
            <w:r>
              <w:rPr>
                <w:rFonts w:hint="default" w:ascii="Times New Roman" w:hAnsi="Times New Roman" w:eastAsia="仿宋_GB2312" w:cs="Times New Roman"/>
                <w:color w:val="auto"/>
                <w:kern w:val="2"/>
                <w:sz w:val="24"/>
                <w:szCs w:val="24"/>
              </w:rPr>
              <w:t>特种设备使用单位应当建立特种设备安全技术档案。安全技术档案应当包括以下内容：</w:t>
            </w:r>
          </w:p>
          <w:p w14:paraId="4381427D">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（一）特种设备的设计文件、产品质量合格证明、安装及使用维护保养说明、监督检验证明等相关技术资料和文件；</w:t>
            </w:r>
          </w:p>
          <w:p w14:paraId="556838B1">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（二）特种设备的定期检验和定期自行检查记录；</w:t>
            </w:r>
          </w:p>
          <w:p w14:paraId="04CDBB0D">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（三）特种设备的日常使用状况记录；</w:t>
            </w:r>
          </w:p>
          <w:p w14:paraId="12EA90AB">
            <w:pPr>
              <w:spacing w:line="280" w:lineRule="exact"/>
              <w:rPr>
                <w:rFonts w:ascii="Times New Roman" w:hAnsi="Times New Roman" w:cs="Times New Roman"/>
                <w:sz w:val="24"/>
                <w:szCs w:val="24"/>
              </w:rPr>
            </w:pPr>
            <w:r>
              <w:rPr>
                <w:rFonts w:hint="default" w:ascii="Times New Roman" w:hAnsi="Times New Roman" w:eastAsia="仿宋_GB2312" w:cs="Times New Roman"/>
                <w:color w:val="auto"/>
                <w:kern w:val="2"/>
                <w:sz w:val="24"/>
                <w:szCs w:val="24"/>
              </w:rPr>
              <w:t>（四）特种设备及其附属仪器仪</w:t>
            </w:r>
            <w:r>
              <w:rPr>
                <w:rFonts w:hint="default" w:ascii="Times New Roman" w:hAnsi="Times New Roman" w:cs="Times New Roman"/>
                <w:sz w:val="24"/>
                <w:szCs w:val="24"/>
              </w:rPr>
              <w:t>表的维护保养记录；</w:t>
            </w:r>
          </w:p>
          <w:p w14:paraId="5A5FD1EC">
            <w:pPr>
              <w:spacing w:line="280" w:lineRule="exact"/>
              <w:rPr>
                <w:rFonts w:ascii="Times New Roman" w:hAnsi="Times New Roman" w:eastAsia="仿宋_GB2312" w:cs="Times New Roman"/>
                <w:color w:val="auto"/>
                <w:kern w:val="2"/>
                <w:sz w:val="24"/>
                <w:szCs w:val="24"/>
              </w:rPr>
            </w:pPr>
            <w:r>
              <w:rPr>
                <w:rFonts w:hint="default" w:ascii="Times New Roman" w:hAnsi="Times New Roman" w:cs="Times New Roman"/>
                <w:sz w:val="24"/>
                <w:szCs w:val="24"/>
              </w:rPr>
              <w:t>（五）特种设备的运行故障和事故记录。</w:t>
            </w:r>
          </w:p>
          <w:p w14:paraId="10392F85">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第八十三条第（二）项 </w:t>
            </w:r>
            <w:r>
              <w:rPr>
                <w:rFonts w:hint="default" w:ascii="Times New Roman" w:hAnsi="Times New Roman" w:eastAsia="仿宋_GB2312" w:cs="Times New Roman"/>
                <w:color w:val="auto"/>
                <w:kern w:val="2"/>
                <w:sz w:val="24"/>
                <w:szCs w:val="24"/>
              </w:rPr>
              <w:t>违反本法规定，特种设备使用单位有下列行为之一的，责令限期改正；逾期未改正的，责令停止使用有关特种设备，处一万元以上十万元以下罚款：</w:t>
            </w:r>
          </w:p>
          <w:p w14:paraId="067AB776">
            <w:pPr>
              <w:spacing w:line="280" w:lineRule="exact"/>
              <w:rPr>
                <w:rFonts w:ascii="Times New Roman" w:hAnsi="Times New Roman" w:eastAsia="仿宋_GB2312" w:cs="Times New Roman"/>
                <w:color w:val="auto"/>
                <w:kern w:val="2"/>
                <w:sz w:val="24"/>
                <w:szCs w:val="24"/>
              </w:rPr>
            </w:pPr>
            <w:r>
              <w:rPr>
                <w:rFonts w:hint="default" w:ascii="Times New Roman" w:hAnsi="Times New Roman" w:cs="Times New Roman"/>
                <w:sz w:val="24"/>
                <w:szCs w:val="24"/>
              </w:rPr>
              <w:t>（</w:t>
            </w:r>
            <w:r>
              <w:rPr>
                <w:rFonts w:hint="default" w:ascii="Times New Roman" w:hAnsi="Times New Roman" w:eastAsia="仿宋_GB2312" w:cs="Times New Roman"/>
                <w:color w:val="auto"/>
                <w:kern w:val="2"/>
                <w:sz w:val="24"/>
                <w:szCs w:val="24"/>
              </w:rPr>
              <w:t>二）未建立特种设备安全技术档案或者安全技术档案不符合规定要求，或者未依法设置使用登记标志、定期检验标志的；</w:t>
            </w:r>
          </w:p>
        </w:tc>
        <w:tc>
          <w:tcPr>
            <w:tcW w:w="1196" w:type="dxa"/>
            <w:noWrap w:val="0"/>
            <w:vAlign w:val="center"/>
          </w:tcPr>
          <w:p w14:paraId="667B2652">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8CABE18">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特种设备使用单位应当建立特种设备安全技术档案，档案包括以下内容:</w:t>
            </w:r>
          </w:p>
          <w:p w14:paraId="4CF800D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（一）特种设备的设计文件、产品质量合格证明、安装及使用维护保养说明、监督检验证明等相关技术资料和文件；</w:t>
            </w:r>
          </w:p>
          <w:p w14:paraId="43DB9AF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（二）特种设备的定期检验和定期自行检查记录；</w:t>
            </w:r>
          </w:p>
          <w:p w14:paraId="673D9F2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（三）特种设备的日常使用状况记录；</w:t>
            </w:r>
          </w:p>
          <w:p w14:paraId="0D63F56E">
            <w:pPr>
              <w:spacing w:line="280" w:lineRule="exact"/>
              <w:rPr>
                <w:rFonts w:ascii="Times New Roman" w:hAnsi="Times New Roman" w:cs="Times New Roman"/>
                <w:sz w:val="24"/>
                <w:szCs w:val="24"/>
              </w:rPr>
            </w:pPr>
            <w:r>
              <w:rPr>
                <w:rFonts w:hint="default" w:ascii="Times New Roman" w:hAnsi="Times New Roman" w:eastAsia="仿宋_GB2312" w:cs="Times New Roman"/>
                <w:color w:val="auto"/>
                <w:kern w:val="2"/>
                <w:sz w:val="24"/>
                <w:szCs w:val="24"/>
              </w:rPr>
              <w:t>（四）特种设备及其附属仪器仪</w:t>
            </w:r>
            <w:r>
              <w:rPr>
                <w:rFonts w:hint="default" w:ascii="Times New Roman" w:hAnsi="Times New Roman" w:cs="Times New Roman"/>
                <w:sz w:val="24"/>
                <w:szCs w:val="24"/>
              </w:rPr>
              <w:t>表的维护保养记录；</w:t>
            </w:r>
          </w:p>
          <w:p w14:paraId="75ED4E36">
            <w:pPr>
              <w:spacing w:line="280" w:lineRule="exact"/>
              <w:rPr>
                <w:rFonts w:ascii="Times New Roman" w:hAnsi="Times New Roman" w:eastAsia="宋体" w:cs="Times New Roman"/>
                <w:sz w:val="24"/>
                <w:szCs w:val="24"/>
              </w:rPr>
            </w:pPr>
            <w:r>
              <w:rPr>
                <w:rFonts w:hint="default" w:ascii="Times New Roman" w:hAnsi="Times New Roman" w:cs="Times New Roman"/>
                <w:sz w:val="24"/>
                <w:szCs w:val="24"/>
              </w:rPr>
              <w:t>（五）特种设备的运行故障和事故记录。</w:t>
            </w:r>
          </w:p>
        </w:tc>
        <w:tc>
          <w:tcPr>
            <w:tcW w:w="1309" w:type="dxa"/>
            <w:noWrap w:val="0"/>
            <w:vAlign w:val="center"/>
          </w:tcPr>
          <w:p w14:paraId="524FD449">
            <w:pPr>
              <w:spacing w:line="280" w:lineRule="exact"/>
              <w:ind w:left="150" w:leftChars="50"/>
              <w:jc w:val="center"/>
              <w:rPr>
                <w:rFonts w:hint="default" w:ascii="Times New Roman" w:hAnsi="Times New Roman" w:eastAsia="仿宋_GB2312" w:cs="Times New Roman"/>
                <w:color w:val="auto"/>
                <w:kern w:val="2"/>
                <w:sz w:val="24"/>
                <w:szCs w:val="24"/>
                <w:lang w:eastAsia="zh-CN"/>
              </w:rPr>
            </w:pPr>
            <w:r>
              <w:rPr>
                <w:rFonts w:hint="default" w:ascii="Times New Roman" w:hAnsi="Times New Roman" w:eastAsia="仿宋_GB2312" w:cs="Times New Roman"/>
                <w:color w:val="auto"/>
                <w:kern w:val="2"/>
                <w:sz w:val="24"/>
                <w:szCs w:val="24"/>
                <w:lang w:eastAsia="zh-CN"/>
              </w:rPr>
              <w:t>特种设备</w:t>
            </w:r>
            <w:r>
              <w:rPr>
                <w:rFonts w:hint="default" w:ascii="Times New Roman" w:hAnsi="Times New Roman" w:cs="Times New Roman"/>
                <w:color w:val="auto"/>
                <w:kern w:val="2"/>
                <w:sz w:val="24"/>
                <w:szCs w:val="24"/>
                <w:lang w:val="en-US" w:eastAsia="zh-CN"/>
              </w:rPr>
              <w:t>监察股</w:t>
            </w:r>
          </w:p>
        </w:tc>
      </w:tr>
      <w:tr w14:paraId="514D5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51156D7">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63</w:t>
            </w:r>
          </w:p>
        </w:tc>
        <w:tc>
          <w:tcPr>
            <w:tcW w:w="1706" w:type="dxa"/>
            <w:noWrap w:val="0"/>
            <w:vAlign w:val="center"/>
          </w:tcPr>
          <w:p w14:paraId="426E0DF1">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特种设备使用单位应当对其使用的特种设备进行经常性维护保养和定期自行检查，并作出记录</w:t>
            </w:r>
          </w:p>
        </w:tc>
        <w:tc>
          <w:tcPr>
            <w:tcW w:w="2187" w:type="dxa"/>
            <w:noWrap w:val="0"/>
            <w:vAlign w:val="center"/>
          </w:tcPr>
          <w:p w14:paraId="2D0BB6E6">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未对其使用的特种设备进行经常性维护保养和定期自行检查，或者未对其使用的特种设备的安全附件、安全保护装置进行定期校验、检修，并作出记录的。</w:t>
            </w:r>
          </w:p>
        </w:tc>
        <w:tc>
          <w:tcPr>
            <w:tcW w:w="4750" w:type="dxa"/>
            <w:noWrap w:val="0"/>
            <w:vAlign w:val="top"/>
          </w:tcPr>
          <w:p w14:paraId="4EA835E7">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《中华人民共和国特种设备安全法》</w:t>
            </w:r>
          </w:p>
          <w:p w14:paraId="57019AB1">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第三十九条 </w:t>
            </w:r>
            <w:r>
              <w:rPr>
                <w:rFonts w:hint="default" w:ascii="Times New Roman" w:hAnsi="Times New Roman" w:eastAsia="仿宋_GB2312" w:cs="Times New Roman"/>
                <w:color w:val="auto"/>
                <w:kern w:val="2"/>
                <w:sz w:val="24"/>
                <w:szCs w:val="24"/>
              </w:rPr>
              <w:t>特种设备使用单位应当对其使用的特种设备进行经常性维护保养和定期自行检查，并作出记录。</w:t>
            </w:r>
          </w:p>
          <w:p w14:paraId="7C5DD42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特种设备使用单位应当对其使用的特种设备的安全附件、安全保护装置进行定期校验、检修，并作出记录。</w:t>
            </w:r>
          </w:p>
          <w:p w14:paraId="44FBE7B5">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第八十三条第（三）项 </w:t>
            </w:r>
            <w:r>
              <w:rPr>
                <w:rFonts w:hint="default" w:ascii="Times New Roman" w:hAnsi="Times New Roman" w:eastAsia="仿宋_GB2312" w:cs="Times New Roman"/>
                <w:color w:val="auto"/>
                <w:kern w:val="2"/>
                <w:sz w:val="24"/>
                <w:szCs w:val="24"/>
              </w:rPr>
              <w:t>违反本法规定，特种设备使用单位有下列行为之一的，责令限期改正；逾期未改正的，责令停止使用有关特种设备，处一万元以上十万元以下罚款:</w:t>
            </w:r>
          </w:p>
          <w:p w14:paraId="1B262762">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（三）未对其使用的特种设备进行经常性维护保养和定期自行检查，或者未对其使用的特种设备的安全附件、安全保护装置进行定期校验、检修，并作出记录的；</w:t>
            </w:r>
          </w:p>
          <w:p w14:paraId="1B3CA3E9">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6CEF9759">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947AA42">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一、特种设备使用单位应当对其使用的特种设备进行经常性维护保养和定期自行检查，并作出记录；</w:t>
            </w:r>
          </w:p>
          <w:p w14:paraId="13E2FF5C">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二、特种设备使用单位应当对其使用的特种设备的安全附件、安全保护装置进行定期校验、检修，并作出记录。</w:t>
            </w:r>
          </w:p>
        </w:tc>
        <w:tc>
          <w:tcPr>
            <w:tcW w:w="1309" w:type="dxa"/>
            <w:noWrap w:val="0"/>
            <w:vAlign w:val="center"/>
          </w:tcPr>
          <w:p w14:paraId="328F6EB3">
            <w:pPr>
              <w:spacing w:line="280" w:lineRule="exact"/>
              <w:ind w:left="150" w:leftChars="50"/>
              <w:jc w:val="center"/>
              <w:rPr>
                <w:rFonts w:hint="default" w:ascii="Times New Roman" w:hAnsi="Times New Roman" w:eastAsia="仿宋_GB2312" w:cs="Times New Roman"/>
                <w:color w:val="auto"/>
                <w:kern w:val="2"/>
                <w:sz w:val="24"/>
                <w:szCs w:val="24"/>
                <w:lang w:eastAsia="zh-CN"/>
              </w:rPr>
            </w:pPr>
            <w:r>
              <w:rPr>
                <w:rFonts w:hint="default" w:ascii="Times New Roman" w:hAnsi="Times New Roman" w:eastAsia="仿宋_GB2312" w:cs="Times New Roman"/>
                <w:color w:val="auto"/>
                <w:kern w:val="2"/>
                <w:sz w:val="24"/>
                <w:szCs w:val="24"/>
                <w:lang w:eastAsia="zh-CN"/>
              </w:rPr>
              <w:t>特种设备</w:t>
            </w:r>
            <w:r>
              <w:rPr>
                <w:rFonts w:hint="default" w:ascii="Times New Roman" w:hAnsi="Times New Roman" w:cs="Times New Roman"/>
                <w:color w:val="auto"/>
                <w:kern w:val="2"/>
                <w:sz w:val="24"/>
                <w:szCs w:val="24"/>
                <w:lang w:val="en-US" w:eastAsia="zh-CN"/>
              </w:rPr>
              <w:t>监察股</w:t>
            </w:r>
          </w:p>
        </w:tc>
      </w:tr>
      <w:tr w14:paraId="26F7A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03AB52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w:t>
            </w:r>
            <w:r>
              <w:rPr>
                <w:rFonts w:hint="default" w:ascii="Times New Roman" w:hAnsi="Times New Roman" w:eastAsia="仿宋_GB2312" w:cs="Times New Roman"/>
                <w:snapToGrid/>
                <w:color w:val="auto"/>
                <w:sz w:val="24"/>
                <w:szCs w:val="24"/>
                <w:lang w:val="en-US" w:eastAsia="zh-CN"/>
              </w:rPr>
              <w:t>4</w:t>
            </w:r>
          </w:p>
        </w:tc>
        <w:tc>
          <w:tcPr>
            <w:tcW w:w="1706" w:type="dxa"/>
            <w:noWrap w:val="0"/>
            <w:vAlign w:val="center"/>
          </w:tcPr>
          <w:p w14:paraId="182D8D12">
            <w:pPr>
              <w:pStyle w:val="2"/>
              <w:spacing w:line="280" w:lineRule="exact"/>
              <w:ind w:firstLine="480" w:firstLineChars="200"/>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移动式压力容器、气瓶充装单位应取得许可后方可从事充装活动，按照安全技术规范要求进行充装</w:t>
            </w:r>
          </w:p>
        </w:tc>
        <w:tc>
          <w:tcPr>
            <w:tcW w:w="2187" w:type="dxa"/>
            <w:noWrap w:val="0"/>
            <w:vAlign w:val="center"/>
          </w:tcPr>
          <w:p w14:paraId="0675F893">
            <w:pPr>
              <w:pStyle w:val="2"/>
              <w:spacing w:line="280" w:lineRule="exact"/>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一、未按照规定实施充装前后的检查、记录制度的；</w:t>
            </w:r>
          </w:p>
          <w:p w14:paraId="0CB57B7F">
            <w:pPr>
              <w:pStyle w:val="2"/>
              <w:spacing w:line="280" w:lineRule="exact"/>
              <w:ind w:firstLine="480" w:firstLineChars="200"/>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二、对不符合安全技术规范要求的移动式压力容器和气瓶进行充装的。</w:t>
            </w:r>
          </w:p>
        </w:tc>
        <w:tc>
          <w:tcPr>
            <w:tcW w:w="4750" w:type="dxa"/>
            <w:noWrap w:val="0"/>
            <w:vAlign w:val="top"/>
          </w:tcPr>
          <w:p w14:paraId="2A2C1FCD">
            <w:pPr>
              <w:pStyle w:val="2"/>
              <w:spacing w:line="280" w:lineRule="exact"/>
              <w:ind w:firstLine="0" w:firstLineChars="0"/>
              <w:rPr>
                <w:rFonts w:ascii="Times New Roman" w:hAnsi="Times New Roman" w:eastAsia="仿宋_GB2312" w:cs="Times New Roman"/>
                <w:color w:val="auto"/>
                <w:kern w:val="2"/>
                <w:sz w:val="24"/>
              </w:rPr>
            </w:pPr>
            <w:r>
              <w:rPr>
                <w:rFonts w:hint="default" w:ascii="Times New Roman" w:hAnsi="Times New Roman" w:eastAsia="仿宋_GB2312" w:cs="Times New Roman"/>
                <w:b/>
                <w:color w:val="auto"/>
                <w:kern w:val="2"/>
                <w:sz w:val="24"/>
              </w:rPr>
              <w:t>《中华人民共和国特种设备安全法》</w:t>
            </w:r>
          </w:p>
          <w:p w14:paraId="51ED30F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第四十九条 </w:t>
            </w:r>
          </w:p>
          <w:p w14:paraId="55EA32F1">
            <w:pPr>
              <w:pStyle w:val="2"/>
              <w:spacing w:line="280" w:lineRule="exact"/>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充装单位应当建立充装前后的检查、记录制度，禁止对不符合安全技术规范要求的移动式压力容器和气瓶进行充装。</w:t>
            </w:r>
          </w:p>
          <w:p w14:paraId="0E982A49">
            <w:pPr>
              <w:pStyle w:val="2"/>
              <w:spacing w:line="280" w:lineRule="exact"/>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气瓶充装单位应当向气体使用者提供符合安全技术规范要求的气瓶，对气体使用者进行气瓶安全使用指导，并按照安全技术规范的要求办理气瓶使用登记，及时申报定期检验。</w:t>
            </w:r>
          </w:p>
          <w:p w14:paraId="597E0D2D">
            <w:pPr>
              <w:pStyle w:val="2"/>
              <w:spacing w:line="280" w:lineRule="exact"/>
              <w:ind w:firstLine="422"/>
              <w:rPr>
                <w:rFonts w:ascii="Times New Roman" w:hAnsi="Times New Roman" w:eastAsia="仿宋_GB2312" w:cs="Times New Roman"/>
                <w:color w:val="auto"/>
                <w:kern w:val="2"/>
                <w:sz w:val="24"/>
              </w:rPr>
            </w:pPr>
            <w:r>
              <w:rPr>
                <w:rFonts w:hint="default" w:ascii="Times New Roman" w:hAnsi="Times New Roman" w:eastAsia="仿宋_GB2312" w:cs="Times New Roman"/>
                <w:b/>
                <w:color w:val="auto"/>
                <w:kern w:val="2"/>
                <w:sz w:val="24"/>
              </w:rPr>
              <w:t xml:space="preserve">第八十五条 </w:t>
            </w:r>
            <w:r>
              <w:rPr>
                <w:rFonts w:hint="default" w:ascii="Times New Roman" w:hAnsi="Times New Roman" w:eastAsia="仿宋_GB2312" w:cs="Times New Roman"/>
                <w:color w:val="auto"/>
                <w:kern w:val="2"/>
                <w:sz w:val="24"/>
              </w:rPr>
              <w:t>违反本法规定，移动式压力容器、气瓶充装单位有下列行为之一的，责令改正，处二万元以上二十万元以下罚款；情节严重的，吊销充装许可证:</w:t>
            </w:r>
          </w:p>
          <w:p w14:paraId="6BB79F79">
            <w:pPr>
              <w:pStyle w:val="2"/>
              <w:spacing w:line="280" w:lineRule="exact"/>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（一）未按照规定实施充装前后的检查、记录制度的；</w:t>
            </w:r>
          </w:p>
          <w:p w14:paraId="08F45372">
            <w:pPr>
              <w:pStyle w:val="2"/>
              <w:spacing w:line="280" w:lineRule="exact"/>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（二）对不符合安全技术规范要求的移动式压力容器和气瓶进行充装的。</w:t>
            </w:r>
          </w:p>
          <w:p w14:paraId="16BFB923">
            <w:pPr>
              <w:pStyle w:val="2"/>
              <w:spacing w:line="280" w:lineRule="exact"/>
              <w:ind w:firstLine="480" w:firstLineChars="200"/>
              <w:rPr>
                <w:rFonts w:ascii="Times New Roman" w:hAnsi="Times New Roman" w:eastAsia="仿宋_GB2312" w:cs="Times New Roman"/>
                <w:color w:val="auto"/>
                <w:kern w:val="2"/>
                <w:sz w:val="24"/>
              </w:rPr>
            </w:pPr>
          </w:p>
        </w:tc>
        <w:tc>
          <w:tcPr>
            <w:tcW w:w="1196" w:type="dxa"/>
            <w:noWrap w:val="0"/>
            <w:vAlign w:val="center"/>
          </w:tcPr>
          <w:p w14:paraId="692B4D1B">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5AFC577">
            <w:pPr>
              <w:spacing w:line="280" w:lineRule="exact"/>
              <w:rPr>
                <w:rFonts w:ascii="Times New Roman" w:hAnsi="Times New Roman" w:cs="Times New Roman"/>
                <w:sz w:val="24"/>
                <w:szCs w:val="24"/>
              </w:rPr>
            </w:pPr>
          </w:p>
          <w:p w14:paraId="5E0DCBA8">
            <w:pPr>
              <w:pStyle w:val="2"/>
              <w:spacing w:line="280" w:lineRule="exact"/>
              <w:ind w:firstLine="480" w:firstLineChars="200"/>
              <w:rPr>
                <w:rFonts w:ascii="Times New Roman" w:hAnsi="Times New Roman" w:eastAsia="仿宋_GB2312" w:cs="Times New Roman"/>
                <w:color w:val="auto"/>
                <w:kern w:val="2"/>
                <w:sz w:val="24"/>
              </w:rPr>
            </w:pPr>
            <w:r>
              <w:rPr>
                <w:rFonts w:hint="default" w:ascii="Times New Roman" w:hAnsi="Times New Roman" w:eastAsia="仿宋_GB2312" w:cs="Times New Roman"/>
                <w:color w:val="auto"/>
                <w:kern w:val="2"/>
                <w:sz w:val="24"/>
              </w:rPr>
              <w:t>移动式压力容器、气瓶充装单位应按照安全技术规范要求进行充装活动。充装单位应当建立充装前后的检查、记录制度，禁止对过期瓶、报废瓶等不符合安全技术规范要求的移动式压力容器和气瓶进行充装。</w:t>
            </w:r>
          </w:p>
        </w:tc>
        <w:tc>
          <w:tcPr>
            <w:tcW w:w="1309" w:type="dxa"/>
            <w:noWrap w:val="0"/>
            <w:vAlign w:val="center"/>
          </w:tcPr>
          <w:p w14:paraId="747A979D">
            <w:pPr>
              <w:spacing w:line="280" w:lineRule="exact"/>
              <w:ind w:left="150" w:leftChars="50"/>
              <w:jc w:val="center"/>
              <w:rPr>
                <w:rFonts w:hint="default" w:ascii="Times New Roman" w:hAnsi="Times New Roman" w:eastAsia="仿宋_GB2312" w:cs="Times New Roman"/>
                <w:color w:val="auto"/>
                <w:kern w:val="2"/>
                <w:sz w:val="24"/>
                <w:szCs w:val="24"/>
                <w:lang w:eastAsia="zh-CN"/>
              </w:rPr>
            </w:pPr>
            <w:r>
              <w:rPr>
                <w:rFonts w:hint="default" w:ascii="Times New Roman" w:hAnsi="Times New Roman" w:eastAsia="仿宋_GB2312" w:cs="Times New Roman"/>
                <w:color w:val="auto"/>
                <w:kern w:val="2"/>
                <w:sz w:val="24"/>
                <w:szCs w:val="24"/>
                <w:lang w:eastAsia="zh-CN"/>
              </w:rPr>
              <w:t>特种设备</w:t>
            </w:r>
            <w:r>
              <w:rPr>
                <w:rFonts w:hint="default" w:ascii="Times New Roman" w:hAnsi="Times New Roman" w:cs="Times New Roman"/>
                <w:color w:val="auto"/>
                <w:kern w:val="2"/>
                <w:sz w:val="24"/>
                <w:szCs w:val="24"/>
                <w:lang w:val="en-US" w:eastAsia="zh-CN"/>
              </w:rPr>
              <w:t>监察股</w:t>
            </w:r>
          </w:p>
        </w:tc>
      </w:tr>
      <w:tr w14:paraId="40C1A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B7EBD18">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w:t>
            </w:r>
            <w:r>
              <w:rPr>
                <w:rFonts w:hint="default" w:ascii="Times New Roman" w:hAnsi="Times New Roman" w:eastAsia="仿宋_GB2312" w:cs="Times New Roman"/>
                <w:snapToGrid/>
                <w:color w:val="auto"/>
                <w:sz w:val="24"/>
                <w:szCs w:val="24"/>
                <w:lang w:val="en-US" w:eastAsia="zh-CN"/>
              </w:rPr>
              <w:t>5</w:t>
            </w:r>
          </w:p>
        </w:tc>
        <w:tc>
          <w:tcPr>
            <w:tcW w:w="1706" w:type="dxa"/>
            <w:noWrap w:val="0"/>
            <w:vAlign w:val="center"/>
          </w:tcPr>
          <w:p w14:paraId="5363448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属于强制检定范围的计量器具应按规定申请强制检定</w:t>
            </w:r>
          </w:p>
        </w:tc>
        <w:tc>
          <w:tcPr>
            <w:tcW w:w="2187" w:type="dxa"/>
            <w:noWrap w:val="0"/>
            <w:vAlign w:val="center"/>
          </w:tcPr>
          <w:p w14:paraId="04911E19">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属于强制检定范围的计量器具未按照规定申请检定</w:t>
            </w:r>
            <w:r>
              <w:rPr>
                <w:rFonts w:hint="default" w:ascii="Times New Roman" w:hAnsi="Times New Roman" w:eastAsia="仿宋_GB2312" w:cs="Times New Roman"/>
                <w:color w:val="auto"/>
                <w:kern w:val="2"/>
                <w:sz w:val="24"/>
                <w:szCs w:val="24"/>
              </w:rPr>
              <w:t>。</w:t>
            </w:r>
          </w:p>
        </w:tc>
        <w:tc>
          <w:tcPr>
            <w:tcW w:w="4750" w:type="dxa"/>
            <w:noWrap w:val="0"/>
            <w:vAlign w:val="top"/>
          </w:tcPr>
          <w:p w14:paraId="210CFA4F">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《中华人民共和国计量法》</w:t>
            </w:r>
          </w:p>
          <w:p w14:paraId="67A9BDCD">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第二十五条 </w:t>
            </w:r>
            <w:r>
              <w:rPr>
                <w:rFonts w:hint="default" w:ascii="Times New Roman" w:hAnsi="Times New Roman" w:eastAsia="仿宋_GB2312" w:cs="Times New Roman"/>
                <w:color w:val="auto"/>
                <w:kern w:val="2"/>
                <w:sz w:val="24"/>
                <w:szCs w:val="24"/>
              </w:rPr>
              <w:t>属于强制检定范围的计量器具，未按照规定申请检定或者检定不合格继续使用的，责令停止使用，可以并处罚款。</w:t>
            </w:r>
          </w:p>
          <w:p w14:paraId="54A8D658">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《中华人民共和国计量法实施细则》</w:t>
            </w:r>
          </w:p>
          <w:p w14:paraId="443B616B">
            <w:pPr>
              <w:spacing w:line="280" w:lineRule="exact"/>
              <w:ind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第四十三条</w:t>
            </w:r>
            <w:r>
              <w:rPr>
                <w:rFonts w:hint="default" w:ascii="Times New Roman" w:hAnsi="Times New Roman" w:eastAsia="仿宋_GB2312" w:cs="Times New Roman"/>
                <w:color w:val="auto"/>
                <w:kern w:val="2"/>
                <w:sz w:val="24"/>
                <w:szCs w:val="24"/>
              </w:rPr>
              <w:t xml:space="preserve"> </w:t>
            </w:r>
            <w:r>
              <w:rPr>
                <w:rFonts w:ascii="Times New Roman" w:hAnsi="Times New Roman" w:eastAsia="仿宋_GB2312" w:cs="Times New Roman"/>
                <w:color w:val="auto"/>
                <w:kern w:val="2"/>
                <w:sz w:val="24"/>
                <w:szCs w:val="24"/>
              </w:rPr>
              <w:t>属于强制检定范围的计量器具，未按照规定申请检定和属于非强制检定范围的计量器具未自行定期检定或者送其他计量检定机构定期检定的，以及经检定不合格继续使用的，责令其停止使用，可并处1000元以下的罚款。</w:t>
            </w:r>
          </w:p>
          <w:p w14:paraId="348D7B0B">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2EE30288">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3FCADB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不得使用未经检定、超过检定周期或经计量检定不合格的计量器具。</w:t>
            </w:r>
          </w:p>
        </w:tc>
        <w:tc>
          <w:tcPr>
            <w:tcW w:w="1309" w:type="dxa"/>
            <w:noWrap w:val="0"/>
            <w:vAlign w:val="center"/>
          </w:tcPr>
          <w:p w14:paraId="51633318">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计量</w:t>
            </w:r>
            <w:r>
              <w:rPr>
                <w:rFonts w:hint="default" w:ascii="Times New Roman" w:hAnsi="Times New Roman" w:cs="Times New Roman"/>
                <w:color w:val="auto"/>
                <w:kern w:val="2"/>
                <w:sz w:val="24"/>
                <w:szCs w:val="24"/>
                <w:lang w:val="en-US" w:eastAsia="zh-CN"/>
              </w:rPr>
              <w:t>股</w:t>
            </w:r>
          </w:p>
        </w:tc>
      </w:tr>
      <w:tr w14:paraId="1E0A0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8FD4BD6">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6</w:t>
            </w:r>
            <w:r>
              <w:rPr>
                <w:rFonts w:hint="default" w:ascii="Times New Roman" w:hAnsi="Times New Roman" w:eastAsia="仿宋_GB2312" w:cs="Times New Roman"/>
                <w:snapToGrid/>
                <w:color w:val="auto"/>
                <w:sz w:val="24"/>
                <w:szCs w:val="24"/>
                <w:lang w:val="en-US" w:eastAsia="zh-CN"/>
              </w:rPr>
              <w:t>6</w:t>
            </w:r>
          </w:p>
        </w:tc>
        <w:tc>
          <w:tcPr>
            <w:tcW w:w="1706" w:type="dxa"/>
            <w:noWrap w:val="0"/>
            <w:vAlign w:val="center"/>
          </w:tcPr>
          <w:p w14:paraId="0095B35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不得未经认证擅自出厂、销售、进口或者在其他经营活动中使用列入强制性产品认证目录的产品</w:t>
            </w:r>
          </w:p>
        </w:tc>
        <w:tc>
          <w:tcPr>
            <w:tcW w:w="2187" w:type="dxa"/>
            <w:noWrap w:val="0"/>
            <w:vAlign w:val="center"/>
          </w:tcPr>
          <w:p w14:paraId="2E7E72C2">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一、列入强制性产品认证目录产品，未经认证擅自出厂、销售、进口或者其他经营活动中使用。</w:t>
            </w:r>
          </w:p>
          <w:p w14:paraId="2363E0F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二、认证证书注销、撤销或者暂停期间，不符合认证要求的产品，继续出厂、销售、进口或者在其他经营活动中使用。</w:t>
            </w:r>
          </w:p>
        </w:tc>
        <w:tc>
          <w:tcPr>
            <w:tcW w:w="4750" w:type="dxa"/>
            <w:noWrap w:val="0"/>
            <w:vAlign w:val="top"/>
          </w:tcPr>
          <w:p w14:paraId="02A18674">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《中华人民共和国认证认可条例》</w:t>
            </w:r>
          </w:p>
          <w:p w14:paraId="24D8744A">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w:t>
            </w:r>
            <w:r>
              <w:rPr>
                <w:rFonts w:hint="default" w:ascii="Times New Roman" w:hAnsi="Times New Roman" w:eastAsia="仿宋_GB2312" w:cs="Times New Roman"/>
                <w:b/>
                <w:color w:val="auto"/>
                <w:kern w:val="2"/>
                <w:sz w:val="24"/>
                <w:szCs w:val="24"/>
              </w:rPr>
              <w:t>二十九</w:t>
            </w:r>
            <w:r>
              <w:rPr>
                <w:rFonts w:ascii="Times New Roman" w:hAnsi="Times New Roman" w:eastAsia="仿宋_GB2312" w:cs="Times New Roman"/>
                <w:b/>
                <w:color w:val="auto"/>
                <w:kern w:val="2"/>
                <w:sz w:val="24"/>
                <w:szCs w:val="24"/>
              </w:rPr>
              <w:t>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列入目录的产品，必须经国务院认证认可监督管理部门指定的认证机构进行认证。</w:t>
            </w:r>
          </w:p>
          <w:p w14:paraId="6675F5C9">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第六十</w:t>
            </w:r>
            <w:r>
              <w:rPr>
                <w:rFonts w:hint="default" w:ascii="Times New Roman" w:hAnsi="Times New Roman" w:eastAsia="仿宋_GB2312" w:cs="Times New Roman"/>
                <w:b/>
                <w:color w:val="auto"/>
                <w:kern w:val="2"/>
                <w:sz w:val="24"/>
                <w:szCs w:val="24"/>
              </w:rPr>
              <w:t>六</w:t>
            </w:r>
            <w:r>
              <w:rPr>
                <w:rFonts w:ascii="Times New Roman" w:hAnsi="Times New Roman" w:eastAsia="仿宋_GB2312" w:cs="Times New Roman"/>
                <w:b/>
                <w:color w:val="auto"/>
                <w:kern w:val="2"/>
                <w:sz w:val="24"/>
                <w:szCs w:val="24"/>
              </w:rPr>
              <w:t>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列入目录的产品未经认证，擅自出厂、销售、进口或者在其他经营活动中使用的，</w:t>
            </w:r>
            <w:r>
              <w:rPr>
                <w:rFonts w:hint="default" w:ascii="Times New Roman" w:hAnsi="Times New Roman" w:eastAsia="仿宋_GB2312" w:cs="Times New Roman"/>
                <w:color w:val="auto"/>
                <w:kern w:val="2"/>
                <w:sz w:val="24"/>
                <w:szCs w:val="24"/>
              </w:rPr>
              <w:t>责令改正，处5万元以上20万元以下的罚款，有违法所得的，没收违法所得。</w:t>
            </w:r>
          </w:p>
          <w:p w14:paraId="22300FE4">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《强制性产品认证管理规定》</w:t>
            </w:r>
          </w:p>
          <w:p w14:paraId="38C3C8D6">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第四十九条 </w:t>
            </w:r>
            <w:r>
              <w:rPr>
                <w:rFonts w:hint="default" w:ascii="Times New Roman" w:hAnsi="Times New Roman" w:eastAsia="仿宋_GB2312" w:cs="Times New Roman"/>
                <w:color w:val="auto"/>
                <w:kern w:val="2"/>
                <w:sz w:val="24"/>
                <w:szCs w:val="24"/>
              </w:rPr>
              <w:t>列入目录的产品未经认证，擅自出厂、销售、进口或者在其他经营活动中使用的，由县级以上地方市场监督管理部门依照认证认可条例第六十六条规定予以处罚。</w:t>
            </w:r>
          </w:p>
          <w:p w14:paraId="7C673810">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第五十一条 </w:t>
            </w:r>
            <w:r>
              <w:rPr>
                <w:rFonts w:hint="default" w:ascii="Times New Roman" w:hAnsi="Times New Roman" w:eastAsia="仿宋_GB2312" w:cs="Times New Roman"/>
                <w:color w:val="auto"/>
                <w:kern w:val="2"/>
                <w:sz w:val="24"/>
                <w:szCs w:val="24"/>
              </w:rPr>
              <w:t>违反本规定第二十九条第二款规定，认证证书注销、撤销或者暂停期间，不符合认证要求的产品，继续出厂、销售、进口或者在其他经营活动中使用的，由县级以上地方市场监督管理部门依照认证认可条例第六十六条规定予以处罚。</w:t>
            </w:r>
          </w:p>
        </w:tc>
        <w:tc>
          <w:tcPr>
            <w:tcW w:w="1196" w:type="dxa"/>
            <w:noWrap w:val="0"/>
            <w:vAlign w:val="center"/>
          </w:tcPr>
          <w:p w14:paraId="491F8C28">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61042F8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一、列入强制性产品认证目录的产品的生产者或者销售者、进口商应委托经国家认监委指定的认证机构进行认证。</w:t>
            </w:r>
          </w:p>
          <w:p w14:paraId="7D4736C1">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二、生产企业应按照国家标准和认证规则要求组织生产，持续保持质量保证能力符合要求。</w:t>
            </w:r>
          </w:p>
          <w:p w14:paraId="5E0B0AE4">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三、列入目录产品的销售者、经营活动的使用者应当验明强制性产品认证证书、产品合格证明和其他标识。</w:t>
            </w:r>
          </w:p>
        </w:tc>
        <w:tc>
          <w:tcPr>
            <w:tcW w:w="1309" w:type="dxa"/>
            <w:noWrap w:val="0"/>
            <w:vAlign w:val="center"/>
          </w:tcPr>
          <w:p w14:paraId="6F98C073">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190B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5575C29">
            <w:pPr>
              <w:pStyle w:val="6"/>
              <w:widowControl w:val="0"/>
              <w:kinsoku/>
              <w:overflowPunct w:val="0"/>
              <w:topLinePunct/>
              <w:autoSpaceDE/>
              <w:autoSpaceDN/>
              <w:spacing w:line="280" w:lineRule="exact"/>
              <w:jc w:val="center"/>
              <w:rPr>
                <w:rFonts w:hint="default" w:ascii="Times New Roman" w:hAnsi="Times New Roman" w:eastAsia="仿宋_GB2312" w:cs="Times New Roman"/>
                <w:snapToGrid/>
                <w:color w:val="auto"/>
                <w:sz w:val="24"/>
                <w:szCs w:val="24"/>
                <w:lang w:val="en-US" w:eastAsia="zh-CN"/>
              </w:rPr>
            </w:pPr>
            <w:r>
              <w:rPr>
                <w:rFonts w:hint="default" w:ascii="Times New Roman" w:hAnsi="Times New Roman" w:eastAsia="仿宋_GB2312" w:cs="Times New Roman"/>
                <w:snapToGrid/>
                <w:color w:val="auto"/>
                <w:sz w:val="24"/>
                <w:szCs w:val="24"/>
                <w:lang w:val="en-US" w:eastAsia="zh-CN"/>
              </w:rPr>
              <w:t>67</w:t>
            </w:r>
          </w:p>
        </w:tc>
        <w:tc>
          <w:tcPr>
            <w:tcW w:w="1706" w:type="dxa"/>
            <w:noWrap w:val="0"/>
            <w:vAlign w:val="center"/>
          </w:tcPr>
          <w:p w14:paraId="00A209B2">
            <w:pPr>
              <w:spacing w:line="280" w:lineRule="exact"/>
              <w:ind w:left="150" w:leftChars="50" w:firstLine="480" w:firstLineChars="200"/>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从事认证活动应当经国务院认证认可监督管理部门批准</w:t>
            </w:r>
          </w:p>
        </w:tc>
        <w:tc>
          <w:tcPr>
            <w:tcW w:w="2187" w:type="dxa"/>
            <w:noWrap w:val="0"/>
            <w:vAlign w:val="center"/>
          </w:tcPr>
          <w:p w14:paraId="7B6D1D12">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未经批准从事认证活动。</w:t>
            </w:r>
          </w:p>
          <w:p w14:paraId="6347B05C">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4750" w:type="dxa"/>
            <w:noWrap w:val="0"/>
            <w:vAlign w:val="top"/>
          </w:tcPr>
          <w:p w14:paraId="4D45C1F9">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《中华人民共和国认证认可条例》</w:t>
            </w:r>
          </w:p>
          <w:p w14:paraId="5638CA85">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第九条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取得认证机构资质，应当经国务院认证认可监督管理部门批准，并在批准范围内从事认证活动。</w:t>
            </w:r>
          </w:p>
          <w:p w14:paraId="1AB8CF5B">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w:t>
            </w:r>
            <w:r>
              <w:rPr>
                <w:rFonts w:hint="default" w:ascii="Times New Roman" w:hAnsi="Times New Roman" w:eastAsia="仿宋_GB2312" w:cs="Times New Roman"/>
                <w:b/>
                <w:color w:val="auto"/>
                <w:kern w:val="2"/>
                <w:sz w:val="24"/>
                <w:szCs w:val="24"/>
              </w:rPr>
              <w:t>六</w:t>
            </w:r>
            <w:r>
              <w:rPr>
                <w:rFonts w:ascii="Times New Roman" w:hAnsi="Times New Roman" w:eastAsia="仿宋_GB2312" w:cs="Times New Roman"/>
                <w:b/>
                <w:color w:val="auto"/>
                <w:kern w:val="2"/>
                <w:sz w:val="24"/>
                <w:szCs w:val="24"/>
              </w:rPr>
              <w:t>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未经</w:t>
            </w:r>
            <w:r>
              <w:rPr>
                <w:rFonts w:hint="default" w:ascii="Times New Roman" w:hAnsi="Times New Roman" w:eastAsia="仿宋_GB2312" w:cs="Times New Roman"/>
                <w:color w:val="auto"/>
                <w:kern w:val="2"/>
                <w:sz w:val="24"/>
                <w:szCs w:val="24"/>
              </w:rPr>
              <w:t>批准擅自从事认证活动的，予以取缔，处10万元以上50万元以下的罚款，有违法所得的，没收违法所得。</w:t>
            </w:r>
          </w:p>
          <w:p w14:paraId="001FF689">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3CF94CBD">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C387953">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市场主体如需从事认证活动，应向国家市场监管总局申请并获得批准，方可在批准范围内从事认证活动。</w:t>
            </w:r>
          </w:p>
        </w:tc>
        <w:tc>
          <w:tcPr>
            <w:tcW w:w="1309" w:type="dxa"/>
            <w:noWrap w:val="0"/>
            <w:vAlign w:val="center"/>
          </w:tcPr>
          <w:p w14:paraId="4E64411E">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6B6BA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35B4836E">
            <w:pPr>
              <w:pStyle w:val="6"/>
              <w:widowControl w:val="0"/>
              <w:kinsoku/>
              <w:overflowPunct w:val="0"/>
              <w:topLinePunct/>
              <w:autoSpaceDE/>
              <w:autoSpaceDN/>
              <w:spacing w:line="280" w:lineRule="exact"/>
              <w:jc w:val="center"/>
              <w:rPr>
                <w:rFonts w:hint="default" w:ascii="Times New Roman" w:hAnsi="Times New Roman" w:eastAsia="仿宋_GB2312" w:cs="Times New Roman"/>
                <w:snapToGrid/>
                <w:color w:val="auto"/>
                <w:sz w:val="24"/>
                <w:szCs w:val="24"/>
                <w:lang w:val="en-US" w:eastAsia="zh-CN"/>
              </w:rPr>
            </w:pPr>
            <w:r>
              <w:rPr>
                <w:rFonts w:hint="default" w:ascii="Times New Roman" w:hAnsi="Times New Roman" w:eastAsia="仿宋_GB2312" w:cs="Times New Roman"/>
                <w:snapToGrid/>
                <w:color w:val="auto"/>
                <w:sz w:val="24"/>
                <w:szCs w:val="24"/>
                <w:lang w:val="en-US" w:eastAsia="zh-CN"/>
              </w:rPr>
              <w:t>68</w:t>
            </w:r>
          </w:p>
        </w:tc>
        <w:tc>
          <w:tcPr>
            <w:tcW w:w="1706" w:type="dxa"/>
            <w:noWrap w:val="0"/>
            <w:vAlign w:val="center"/>
          </w:tcPr>
          <w:p w14:paraId="4DA43E41">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检验检测机构应当依法取得资质认定</w:t>
            </w:r>
          </w:p>
        </w:tc>
        <w:tc>
          <w:tcPr>
            <w:tcW w:w="2187" w:type="dxa"/>
            <w:noWrap w:val="0"/>
            <w:vAlign w:val="center"/>
          </w:tcPr>
          <w:p w14:paraId="76E67BBB">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检验检测机构未依法取得资质认定，擅自向社会出具具有证明作用的数据、结果。</w:t>
            </w:r>
          </w:p>
        </w:tc>
        <w:tc>
          <w:tcPr>
            <w:tcW w:w="4750" w:type="dxa"/>
            <w:noWrap w:val="0"/>
            <w:vAlign w:val="top"/>
          </w:tcPr>
          <w:p w14:paraId="0506BC45">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《检验检测机构资质认定管理办法》</w:t>
            </w:r>
          </w:p>
          <w:p w14:paraId="277441E8">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第三十四条 </w:t>
            </w:r>
            <w:r>
              <w:rPr>
                <w:rFonts w:hint="default" w:ascii="Times New Roman" w:hAnsi="Times New Roman" w:eastAsia="仿宋_GB2312" w:cs="Times New Roman"/>
                <w:color w:val="auto"/>
                <w:kern w:val="2"/>
                <w:sz w:val="24"/>
                <w:szCs w:val="24"/>
              </w:rPr>
              <w:t>检验检测机构未依法取得资质认定，擅自向社会出具具有证明作用的数据、结果的，依照法律、法规的规定执行；法律、法规未作规定的，由县级以上市场监督管理部门责令限期改正，处3万元罚款。</w:t>
            </w:r>
          </w:p>
        </w:tc>
        <w:tc>
          <w:tcPr>
            <w:tcW w:w="1196" w:type="dxa"/>
            <w:noWrap w:val="0"/>
            <w:vAlign w:val="center"/>
          </w:tcPr>
          <w:p w14:paraId="6E0CCDD7">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204B170">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检验检测机构应当依法取得资质认定。</w:t>
            </w:r>
          </w:p>
        </w:tc>
        <w:tc>
          <w:tcPr>
            <w:tcW w:w="1309" w:type="dxa"/>
            <w:noWrap w:val="0"/>
            <w:vAlign w:val="center"/>
          </w:tcPr>
          <w:p w14:paraId="71F23A01">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51251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710DAB20">
            <w:pPr>
              <w:pStyle w:val="6"/>
              <w:widowControl w:val="0"/>
              <w:kinsoku/>
              <w:overflowPunct w:val="0"/>
              <w:topLinePunct/>
              <w:autoSpaceDE/>
              <w:autoSpaceDN/>
              <w:spacing w:line="280" w:lineRule="exact"/>
              <w:jc w:val="center"/>
              <w:rPr>
                <w:rFonts w:hint="default" w:ascii="Times New Roman" w:hAnsi="Times New Roman" w:eastAsia="仿宋_GB2312" w:cs="Times New Roman"/>
                <w:snapToGrid/>
                <w:color w:val="auto"/>
                <w:sz w:val="24"/>
                <w:szCs w:val="24"/>
                <w:lang w:val="en-US" w:eastAsia="zh-CN"/>
              </w:rPr>
            </w:pPr>
            <w:r>
              <w:rPr>
                <w:rFonts w:hint="default" w:ascii="Times New Roman" w:hAnsi="Times New Roman" w:eastAsia="仿宋_GB2312" w:cs="Times New Roman"/>
                <w:snapToGrid/>
                <w:color w:val="auto"/>
                <w:sz w:val="24"/>
                <w:szCs w:val="24"/>
                <w:lang w:val="en-US" w:eastAsia="zh-CN"/>
              </w:rPr>
              <w:t>69</w:t>
            </w:r>
          </w:p>
        </w:tc>
        <w:tc>
          <w:tcPr>
            <w:tcW w:w="1706" w:type="dxa"/>
            <w:noWrap w:val="0"/>
            <w:vAlign w:val="center"/>
          </w:tcPr>
          <w:p w14:paraId="57E29C77">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检验检测机构应当在资质认定证书规定的检验检测能力范围内出具检验检测数据、结果</w:t>
            </w:r>
          </w:p>
        </w:tc>
        <w:tc>
          <w:tcPr>
            <w:tcW w:w="2187" w:type="dxa"/>
            <w:noWrap w:val="0"/>
            <w:vAlign w:val="center"/>
          </w:tcPr>
          <w:p w14:paraId="70F42F2A">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检验检测机构出具的数据、结果不在资质认定证书规定的检验检测能力范围内。</w:t>
            </w:r>
          </w:p>
        </w:tc>
        <w:tc>
          <w:tcPr>
            <w:tcW w:w="4750" w:type="dxa"/>
            <w:noWrap w:val="0"/>
            <w:vAlign w:val="top"/>
          </w:tcPr>
          <w:p w14:paraId="7E9895C3">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《检验检测机构资质认定管理办法》</w:t>
            </w:r>
          </w:p>
          <w:p w14:paraId="6432D919">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第十九条 </w:t>
            </w:r>
            <w:r>
              <w:rPr>
                <w:rFonts w:hint="default" w:ascii="Times New Roman" w:hAnsi="Times New Roman" w:eastAsia="仿宋_GB2312" w:cs="Times New Roman"/>
                <w:color w:val="auto"/>
                <w:kern w:val="2"/>
                <w:sz w:val="24"/>
                <w:szCs w:val="24"/>
              </w:rPr>
              <w:t>检验检测机构应当在资质认定证书规定的检验检测能力范围内，依据相关标准或者技术规范规定的程序和要求，出具检验检测数据、结果。</w:t>
            </w:r>
          </w:p>
          <w:p w14:paraId="4066547D">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第三十六条 </w:t>
            </w:r>
            <w:r>
              <w:rPr>
                <w:rFonts w:hint="default" w:ascii="Times New Roman" w:hAnsi="Times New Roman" w:eastAsia="仿宋_GB2312" w:cs="Times New Roman"/>
                <w:color w:val="auto"/>
                <w:kern w:val="2"/>
                <w:sz w:val="24"/>
                <w:szCs w:val="24"/>
              </w:rPr>
              <w:t>检验检测机构有下列情形之一的，法律、法规对撤销、吊销、取消检验检测资质或者证书等有行政处罚规定的，依照法律、法规的规定执行；法律、法规未作规定的，由县级以上市场监督管理部门责令限期改正，处3万元罚款：</w:t>
            </w:r>
          </w:p>
          <w:p w14:paraId="5A9802C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（二）超出资质认定证书规定的检验检测能力范围，擅自向社会出具具有证明作用的数据、结果的。</w:t>
            </w:r>
          </w:p>
        </w:tc>
        <w:tc>
          <w:tcPr>
            <w:tcW w:w="1196" w:type="dxa"/>
            <w:noWrap w:val="0"/>
            <w:vAlign w:val="center"/>
          </w:tcPr>
          <w:p w14:paraId="3129EAA3">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772862B7">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一、检验检测机构应当按照资质认定能力附表范围内的检验检测标准、方法和项目等开展检验检测工作。</w:t>
            </w:r>
          </w:p>
          <w:p w14:paraId="58DEF972">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二、检验检测机构出具的数据、结果中的项目名称和依据的检验检测标准、方法等应与资质认定证书附表中的项目名称和标准、方法一致。</w:t>
            </w:r>
          </w:p>
        </w:tc>
        <w:tc>
          <w:tcPr>
            <w:tcW w:w="1309" w:type="dxa"/>
            <w:noWrap w:val="0"/>
            <w:vAlign w:val="center"/>
          </w:tcPr>
          <w:p w14:paraId="5EA5C43F">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6CE24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4FD58CB2">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7</w:t>
            </w:r>
            <w:r>
              <w:rPr>
                <w:rFonts w:hint="default" w:ascii="Times New Roman" w:hAnsi="Times New Roman" w:eastAsia="仿宋_GB2312" w:cs="Times New Roman"/>
                <w:snapToGrid/>
                <w:color w:val="auto"/>
                <w:sz w:val="24"/>
                <w:szCs w:val="24"/>
                <w:lang w:val="en-US" w:eastAsia="zh-CN"/>
              </w:rPr>
              <w:t>0</w:t>
            </w:r>
          </w:p>
        </w:tc>
        <w:tc>
          <w:tcPr>
            <w:tcW w:w="1706" w:type="dxa"/>
            <w:noWrap w:val="0"/>
            <w:vAlign w:val="center"/>
          </w:tcPr>
          <w:p w14:paraId="78E38B9F">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检验检测机构应当按国家强制性规定要求进行检验检测</w:t>
            </w:r>
          </w:p>
        </w:tc>
        <w:tc>
          <w:tcPr>
            <w:tcW w:w="2187" w:type="dxa"/>
            <w:noWrap w:val="0"/>
            <w:vAlign w:val="center"/>
          </w:tcPr>
          <w:p w14:paraId="3087DCC7">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检验检测机构未按照国家强制性标准规范的要求开展检验检测。</w:t>
            </w:r>
          </w:p>
        </w:tc>
        <w:tc>
          <w:tcPr>
            <w:tcW w:w="4750" w:type="dxa"/>
            <w:noWrap w:val="0"/>
            <w:vAlign w:val="top"/>
          </w:tcPr>
          <w:p w14:paraId="17C45EF2">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《检验检测机构监督管理办法》</w:t>
            </w:r>
          </w:p>
          <w:p w14:paraId="7721FDE9">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第八条第一款 </w:t>
            </w:r>
            <w:r>
              <w:rPr>
                <w:rFonts w:hint="default" w:ascii="Times New Roman" w:hAnsi="Times New Roman" w:eastAsia="仿宋_GB2312" w:cs="Times New Roman"/>
                <w:color w:val="auto"/>
                <w:kern w:val="2"/>
                <w:sz w:val="24"/>
                <w:szCs w:val="24"/>
              </w:rPr>
              <w:t>检验检测机构应当按照国家有关强制性规定的样品管理、仪器设备管理与使用、检验检测规程或者方法、数据传输与保存等要求进行检验检测。</w:t>
            </w:r>
          </w:p>
          <w:p w14:paraId="6D1C7E5E">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第二十五条第（一）项 </w:t>
            </w:r>
            <w:r>
              <w:rPr>
                <w:rFonts w:hint="default" w:ascii="Times New Roman" w:hAnsi="Times New Roman" w:eastAsia="仿宋_GB2312" w:cs="Times New Roman"/>
                <w:color w:val="auto"/>
                <w:kern w:val="2"/>
                <w:sz w:val="24"/>
                <w:szCs w:val="24"/>
              </w:rPr>
              <w:t>检验检测机构有下列情形之一的，由县级以上市场监督管理部门责令限期改正；逾期未改正或者改正后仍不符合要求的，处</w:t>
            </w:r>
            <w:r>
              <w:rPr>
                <w:rFonts w:ascii="Times New Roman" w:hAnsi="Times New Roman" w:eastAsia="仿宋_GB2312" w:cs="Times New Roman"/>
                <w:color w:val="auto"/>
                <w:kern w:val="2"/>
                <w:sz w:val="24"/>
                <w:szCs w:val="24"/>
              </w:rPr>
              <w:t xml:space="preserve">3 </w:t>
            </w:r>
            <w:r>
              <w:rPr>
                <w:rFonts w:hint="default" w:ascii="Times New Roman" w:hAnsi="Times New Roman" w:eastAsia="仿宋_GB2312" w:cs="Times New Roman"/>
                <w:color w:val="auto"/>
                <w:kern w:val="2"/>
                <w:sz w:val="24"/>
                <w:szCs w:val="24"/>
              </w:rPr>
              <w:t>万元以下罚款：</w:t>
            </w:r>
          </w:p>
          <w:p w14:paraId="16E0840C">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（一）违反本办法第八条第一款规定，进行检验检测的；</w:t>
            </w:r>
          </w:p>
        </w:tc>
        <w:tc>
          <w:tcPr>
            <w:tcW w:w="1196" w:type="dxa"/>
            <w:noWrap w:val="0"/>
            <w:vAlign w:val="center"/>
          </w:tcPr>
          <w:p w14:paraId="4228C85B">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567B2BF4">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一、按照国家强制性规定的要求进行样品和仪器设备的管理、使用，确保符合检验检测要求。</w:t>
            </w:r>
          </w:p>
          <w:p w14:paraId="5F8F8107">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二、依据的检验检测规范或采用的检验检测方法、以及数据传输与保存等均应符合国家强制性规定和要求。</w:t>
            </w:r>
          </w:p>
        </w:tc>
        <w:tc>
          <w:tcPr>
            <w:tcW w:w="1309" w:type="dxa"/>
            <w:noWrap w:val="0"/>
            <w:vAlign w:val="center"/>
          </w:tcPr>
          <w:p w14:paraId="710F30F1">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0B90E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96F73DC">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7</w:t>
            </w:r>
            <w:r>
              <w:rPr>
                <w:rFonts w:hint="default" w:ascii="Times New Roman" w:hAnsi="Times New Roman" w:eastAsia="仿宋_GB2312" w:cs="Times New Roman"/>
                <w:snapToGrid/>
                <w:color w:val="auto"/>
                <w:sz w:val="24"/>
                <w:szCs w:val="24"/>
                <w:lang w:val="en-US" w:eastAsia="zh-CN"/>
              </w:rPr>
              <w:t>1</w:t>
            </w:r>
          </w:p>
        </w:tc>
        <w:tc>
          <w:tcPr>
            <w:tcW w:w="1706" w:type="dxa"/>
            <w:noWrap w:val="0"/>
            <w:vAlign w:val="center"/>
          </w:tcPr>
          <w:p w14:paraId="5880BFA6">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验检测机构不得出具不实检验检测报告</w:t>
            </w:r>
          </w:p>
        </w:tc>
        <w:tc>
          <w:tcPr>
            <w:tcW w:w="2187" w:type="dxa"/>
            <w:noWrap w:val="0"/>
            <w:vAlign w:val="center"/>
          </w:tcPr>
          <w:p w14:paraId="37F9A30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一、品的采集、标识、分发、流转、制备、保存、处置不符合标准等规定，存在样品污染、混淆、损毁、性状异常改变等情形的；</w:t>
            </w:r>
          </w:p>
          <w:p w14:paraId="457ADEE8">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二、用未经检定或者校准的仪器、设备、设施的；</w:t>
            </w:r>
          </w:p>
          <w:p w14:paraId="4EA12F4E">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三、反国家有关强制性规定的检验检测规程或者方法的；</w:t>
            </w:r>
          </w:p>
          <w:p w14:paraId="24874D24">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四、按照标准等规定传输、保存原始数据和报告的。</w:t>
            </w:r>
          </w:p>
          <w:p w14:paraId="4DD786A3">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4750" w:type="dxa"/>
            <w:noWrap w:val="0"/>
            <w:vAlign w:val="top"/>
          </w:tcPr>
          <w:p w14:paraId="42CD76F7">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《检验检测机构监督管理办法》</w:t>
            </w:r>
          </w:p>
          <w:p w14:paraId="21F9CE19">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第十三条 </w:t>
            </w:r>
            <w:r>
              <w:rPr>
                <w:rFonts w:hint="default" w:ascii="Times New Roman" w:hAnsi="Times New Roman" w:eastAsia="仿宋_GB2312" w:cs="Times New Roman"/>
                <w:color w:val="auto"/>
                <w:kern w:val="2"/>
                <w:sz w:val="24"/>
                <w:szCs w:val="24"/>
              </w:rPr>
              <w:t>验检测机构不得出具不实检验检测报告。</w:t>
            </w:r>
          </w:p>
          <w:p w14:paraId="488C712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检验检测机构出具的检验检测报告存在下列情形之一，并且数据、结果存在错误或者无法复核的，属于不实检验检测报告：</w:t>
            </w:r>
          </w:p>
          <w:p w14:paraId="7D0260B7">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第二十六条第（一）项 </w:t>
            </w:r>
            <w:r>
              <w:rPr>
                <w:rFonts w:hint="default" w:ascii="Times New Roman" w:hAnsi="Times New Roman" w:eastAsia="仿宋_GB2312" w:cs="Times New Roman"/>
                <w:color w:val="auto"/>
                <w:kern w:val="2"/>
                <w:sz w:val="24"/>
                <w:szCs w:val="24"/>
              </w:rPr>
              <w:t>检验检测机构有下列情形之一的，法律、法规对撤销、吊销、取消检验检测资质或者证书等有行政处罚规定的，依照法律、法规的规定执行；法律、法规未作规定的，由县级以上市场监督管理部门责令限期改正，处3万元罚款：</w:t>
            </w:r>
          </w:p>
          <w:p w14:paraId="05B6A62C">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（一）违反本办法第十三条规定，出具不实检验检测报告的；</w:t>
            </w:r>
          </w:p>
        </w:tc>
        <w:tc>
          <w:tcPr>
            <w:tcW w:w="1196" w:type="dxa"/>
            <w:noWrap w:val="0"/>
            <w:vAlign w:val="center"/>
          </w:tcPr>
          <w:p w14:paraId="5A4195F8">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0FEC17B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检验检测机构应当在样品管理、仪器设备设施管理、执行检验检测规程或方法、原始数据和报告传输和保存等方面强化管理和操作流程控制，确保检验检测报告的数据、结果准确，可以追溯。</w:t>
            </w:r>
          </w:p>
        </w:tc>
        <w:tc>
          <w:tcPr>
            <w:tcW w:w="1309" w:type="dxa"/>
            <w:noWrap w:val="0"/>
            <w:vAlign w:val="center"/>
          </w:tcPr>
          <w:p w14:paraId="0CD2A5F5">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03A6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6FEEB467">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7</w:t>
            </w:r>
            <w:r>
              <w:rPr>
                <w:rFonts w:hint="default" w:ascii="Times New Roman" w:hAnsi="Times New Roman" w:eastAsia="仿宋_GB2312" w:cs="Times New Roman"/>
                <w:snapToGrid/>
                <w:color w:val="auto"/>
                <w:sz w:val="24"/>
                <w:szCs w:val="24"/>
                <w:lang w:val="en-US" w:eastAsia="zh-CN"/>
              </w:rPr>
              <w:t>2</w:t>
            </w:r>
          </w:p>
        </w:tc>
        <w:tc>
          <w:tcPr>
            <w:tcW w:w="1706" w:type="dxa"/>
            <w:noWrap w:val="0"/>
            <w:vAlign w:val="center"/>
          </w:tcPr>
          <w:p w14:paraId="65053080">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验检测机构不得出具虚假检验检测报告</w:t>
            </w:r>
          </w:p>
        </w:tc>
        <w:tc>
          <w:tcPr>
            <w:tcW w:w="2187" w:type="dxa"/>
            <w:noWrap w:val="0"/>
            <w:vAlign w:val="center"/>
          </w:tcPr>
          <w:p w14:paraId="41F113D4">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一、经检验检测的；</w:t>
            </w:r>
          </w:p>
          <w:p w14:paraId="4FCE8BA7">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二、造、变造原始数据、记录，或者未按照标准等规定采用原始数据、记录的；</w:t>
            </w:r>
          </w:p>
          <w:p w14:paraId="2E8ED44D">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三、少、遗漏或者变更标准等规定的应当检验检测的项目，或者改变关键检验检测条件的；</w:t>
            </w:r>
          </w:p>
          <w:p w14:paraId="7C2495FD">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四、换检验检测样品或者改变其原有状态进行检验检测的；</w:t>
            </w:r>
          </w:p>
          <w:p w14:paraId="1260109E">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五、造检验检测机构公章或者检验检测专用章，或者伪造授权签字人签名或者签发时间的。</w:t>
            </w:r>
          </w:p>
          <w:p w14:paraId="54F67AD2">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4750" w:type="dxa"/>
            <w:noWrap w:val="0"/>
            <w:vAlign w:val="top"/>
          </w:tcPr>
          <w:p w14:paraId="52BCBF67">
            <w:pPr>
              <w:spacing w:line="280" w:lineRule="exact"/>
              <w:ind w:firstLine="0" w:firstLineChars="0"/>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《检验检测机构监督管理办法》</w:t>
            </w:r>
          </w:p>
          <w:p w14:paraId="19894FC9">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第十四条</w:t>
            </w:r>
            <w:r>
              <w:rPr>
                <w:rFonts w:hint="default" w:ascii="Times New Roman" w:hAnsi="Times New Roman" w:eastAsia="仿宋_GB2312" w:cs="Times New Roman"/>
                <w:color w:val="auto"/>
                <w:kern w:val="2"/>
                <w:sz w:val="24"/>
                <w:szCs w:val="24"/>
              </w:rPr>
              <w:t>。</w:t>
            </w:r>
          </w:p>
          <w:p w14:paraId="00838124">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检验检测机构出具的检验检测报告存在下列情形之一的，属于虚假检验检测报告：</w:t>
            </w:r>
          </w:p>
          <w:p w14:paraId="76B4C44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（一）未经检验检测的；</w:t>
            </w:r>
          </w:p>
          <w:p w14:paraId="055ED49C">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（二）伪造、变造原始数据、记录，或者未按照标准等规定采用原始数据、记录的；</w:t>
            </w:r>
          </w:p>
          <w:p w14:paraId="19161452">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（三）减少、遗漏或者变更标准等规定的应当检验检测的项目，或者改变关键检验检测条件的；</w:t>
            </w:r>
          </w:p>
          <w:p w14:paraId="1AE7FB20">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（四）调换检验检测样品或者改变其原有状态进行检验检测的；</w:t>
            </w:r>
          </w:p>
          <w:p w14:paraId="070C1F9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（五）伪造检验检测机构公章或者检验检测专用章，或者伪造授权签字人签名或者签发时间的。</w:t>
            </w:r>
          </w:p>
          <w:p w14:paraId="7B035BF6">
            <w:pPr>
              <w:spacing w:line="280" w:lineRule="exact"/>
              <w:ind w:firstLine="422"/>
              <w:rPr>
                <w:rFonts w:ascii="Times New Roman" w:hAnsi="Times New Roman" w:eastAsia="仿宋_GB2312" w:cs="Times New Roman"/>
                <w:color w:val="auto"/>
                <w:kern w:val="2"/>
                <w:sz w:val="24"/>
                <w:szCs w:val="24"/>
              </w:rPr>
            </w:pPr>
            <w:r>
              <w:rPr>
                <w:rFonts w:hint="default" w:ascii="Times New Roman" w:hAnsi="Times New Roman" w:eastAsia="仿宋_GB2312" w:cs="Times New Roman"/>
                <w:b/>
                <w:color w:val="auto"/>
                <w:kern w:val="2"/>
                <w:sz w:val="24"/>
                <w:szCs w:val="24"/>
              </w:rPr>
              <w:t xml:space="preserve">第二十六条第（二）项 </w:t>
            </w:r>
            <w:r>
              <w:rPr>
                <w:rFonts w:hint="default" w:ascii="Times New Roman" w:hAnsi="Times New Roman" w:eastAsia="仿宋_GB2312" w:cs="Times New Roman"/>
                <w:color w:val="auto"/>
                <w:kern w:val="2"/>
                <w:sz w:val="24"/>
                <w:szCs w:val="24"/>
              </w:rPr>
              <w:t>检验检测机构有下列情形之一的，法律、法规对撤销、吊销、取消检验检测资质或者证书等有行政处罚规定的，依照法律、法规的规定执行；法律、法规未作规定的，由县级以上市场监督管理部门责令限期改正，处3万元罚款：</w:t>
            </w:r>
          </w:p>
          <w:p w14:paraId="1DEDFDA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（二）违反本办法第十四条规定，出具虚假检验检测报告的。</w:t>
            </w:r>
          </w:p>
        </w:tc>
        <w:tc>
          <w:tcPr>
            <w:tcW w:w="1196" w:type="dxa"/>
            <w:noWrap w:val="0"/>
            <w:vAlign w:val="center"/>
          </w:tcPr>
          <w:p w14:paraId="2FD2E0A8">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4495F717">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检验检测机构要依据相关标准和合同约定开展检测业务，不缺项、不漏项，检验检测数据完整、可追溯，原始记录、报告、证书按规定保存完整。</w:t>
            </w:r>
          </w:p>
        </w:tc>
        <w:tc>
          <w:tcPr>
            <w:tcW w:w="1309" w:type="dxa"/>
            <w:noWrap w:val="0"/>
            <w:vAlign w:val="center"/>
          </w:tcPr>
          <w:p w14:paraId="5950C623">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科</w:t>
            </w:r>
            <w:r>
              <w:rPr>
                <w:rFonts w:hint="default" w:ascii="Times New Roman" w:hAnsi="Times New Roman" w:cs="Times New Roman"/>
                <w:color w:val="auto"/>
                <w:kern w:val="2"/>
                <w:sz w:val="24"/>
                <w:szCs w:val="24"/>
                <w:lang w:val="en-US" w:eastAsia="zh-CN"/>
              </w:rPr>
              <w:t>技</w:t>
            </w:r>
            <w:r>
              <w:rPr>
                <w:rFonts w:hint="default" w:ascii="Times New Roman" w:hAnsi="Times New Roman" w:eastAsia="仿宋_GB2312" w:cs="Times New Roman"/>
                <w:color w:val="auto"/>
                <w:kern w:val="2"/>
                <w:sz w:val="24"/>
                <w:szCs w:val="24"/>
              </w:rPr>
              <w:t>认</w:t>
            </w:r>
            <w:r>
              <w:rPr>
                <w:rFonts w:hint="default" w:ascii="Times New Roman" w:hAnsi="Times New Roman" w:cs="Times New Roman"/>
                <w:color w:val="auto"/>
                <w:kern w:val="2"/>
                <w:sz w:val="24"/>
                <w:szCs w:val="24"/>
                <w:lang w:val="en-US" w:eastAsia="zh-CN"/>
              </w:rPr>
              <w:t>证股</w:t>
            </w:r>
          </w:p>
        </w:tc>
      </w:tr>
      <w:tr w14:paraId="3DC37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23A7B582">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7</w:t>
            </w:r>
            <w:r>
              <w:rPr>
                <w:rFonts w:hint="default" w:ascii="Times New Roman" w:hAnsi="Times New Roman" w:eastAsia="仿宋_GB2312" w:cs="Times New Roman"/>
                <w:snapToGrid/>
                <w:color w:val="auto"/>
                <w:sz w:val="24"/>
                <w:szCs w:val="24"/>
                <w:lang w:val="en-US" w:eastAsia="zh-CN"/>
              </w:rPr>
              <w:t>3</w:t>
            </w:r>
          </w:p>
        </w:tc>
        <w:tc>
          <w:tcPr>
            <w:tcW w:w="1706" w:type="dxa"/>
            <w:noWrap w:val="0"/>
            <w:vAlign w:val="center"/>
          </w:tcPr>
          <w:p w14:paraId="7E18F176">
            <w:pPr>
              <w:spacing w:line="280" w:lineRule="exact"/>
              <w:ind w:left="150" w:leftChars="50" w:firstLine="480" w:firstLineChars="200"/>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w:t>
            </w:r>
            <w:r>
              <w:rPr>
                <w:rFonts w:ascii="Times New Roman" w:hAnsi="Times New Roman" w:eastAsia="仿宋_GB2312" w:cs="Times New Roman"/>
                <w:color w:val="auto"/>
                <w:kern w:val="2"/>
                <w:sz w:val="24"/>
                <w:szCs w:val="24"/>
              </w:rPr>
              <w:t>侵犯注册商标专用权</w:t>
            </w:r>
          </w:p>
        </w:tc>
        <w:tc>
          <w:tcPr>
            <w:tcW w:w="2187" w:type="dxa"/>
            <w:noWrap w:val="0"/>
            <w:vAlign w:val="center"/>
          </w:tcPr>
          <w:p w14:paraId="68B22171">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w:t>
            </w:r>
            <w:r>
              <w:rPr>
                <w:rFonts w:ascii="Times New Roman" w:hAnsi="Times New Roman" w:eastAsia="仿宋_GB2312" w:cs="Times New Roman"/>
                <w:color w:val="auto"/>
                <w:kern w:val="2"/>
                <w:sz w:val="24"/>
                <w:szCs w:val="24"/>
              </w:rPr>
              <w:t>未经商标注册人的许可，在同一种商品上使用与其注册商标相同的商标的；</w:t>
            </w:r>
          </w:p>
          <w:p w14:paraId="0FE920CE">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w:t>
            </w:r>
            <w:r>
              <w:rPr>
                <w:rFonts w:ascii="Times New Roman" w:hAnsi="Times New Roman" w:eastAsia="仿宋_GB2312" w:cs="Times New Roman"/>
                <w:color w:val="auto"/>
                <w:kern w:val="2"/>
                <w:sz w:val="24"/>
                <w:szCs w:val="24"/>
              </w:rPr>
              <w:t>未经商标注册人的许可，在同一种商品上使用与其注册商标近似的商标，或者在类似商品上使用与其注册商标相同或者近似的商标，容易导致混淆的；</w:t>
            </w:r>
          </w:p>
          <w:p w14:paraId="481EBAE6">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w:t>
            </w:r>
            <w:r>
              <w:rPr>
                <w:rFonts w:ascii="Times New Roman" w:hAnsi="Times New Roman" w:eastAsia="仿宋_GB2312" w:cs="Times New Roman"/>
                <w:color w:val="auto"/>
                <w:kern w:val="2"/>
                <w:sz w:val="24"/>
                <w:szCs w:val="24"/>
              </w:rPr>
              <w:t>销售侵犯注册商标专用权的商品的；</w:t>
            </w:r>
          </w:p>
          <w:p w14:paraId="0E01221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w:t>
            </w:r>
            <w:r>
              <w:rPr>
                <w:rFonts w:ascii="Times New Roman" w:hAnsi="Times New Roman" w:eastAsia="仿宋_GB2312" w:cs="Times New Roman"/>
                <w:color w:val="auto"/>
                <w:kern w:val="2"/>
                <w:sz w:val="24"/>
                <w:szCs w:val="24"/>
              </w:rPr>
              <w:t>伪造、擅自制造他人注册商标标识或者销售伪造、擅自制造的注册商标标识的；</w:t>
            </w:r>
          </w:p>
          <w:p w14:paraId="2123D68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w:t>
            </w:r>
            <w:r>
              <w:rPr>
                <w:rFonts w:ascii="Times New Roman" w:hAnsi="Times New Roman" w:eastAsia="仿宋_GB2312" w:cs="Times New Roman"/>
                <w:color w:val="auto"/>
                <w:kern w:val="2"/>
                <w:sz w:val="24"/>
                <w:szCs w:val="24"/>
              </w:rPr>
              <w:t>未经商标注册人同意，更换其注册商标并将该更换商标的商品又投入市场的；</w:t>
            </w:r>
          </w:p>
          <w:p w14:paraId="0736585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六、</w:t>
            </w:r>
            <w:r>
              <w:rPr>
                <w:rFonts w:ascii="Times New Roman" w:hAnsi="Times New Roman" w:eastAsia="仿宋_GB2312" w:cs="Times New Roman"/>
                <w:color w:val="auto"/>
                <w:kern w:val="2"/>
                <w:sz w:val="24"/>
                <w:szCs w:val="24"/>
              </w:rPr>
              <w:t>故意为侵犯他人商标专用权行为提供便利条件，帮助他人实施侵犯商标专用权行为的</w:t>
            </w:r>
            <w:r>
              <w:rPr>
                <w:rFonts w:hint="default" w:ascii="Times New Roman" w:hAnsi="Times New Roman" w:eastAsia="仿宋_GB2312" w:cs="Times New Roman"/>
                <w:color w:val="auto"/>
                <w:kern w:val="2"/>
                <w:sz w:val="24"/>
                <w:szCs w:val="24"/>
              </w:rPr>
              <w:t>。</w:t>
            </w:r>
          </w:p>
        </w:tc>
        <w:tc>
          <w:tcPr>
            <w:tcW w:w="4750" w:type="dxa"/>
            <w:noWrap w:val="0"/>
            <w:vAlign w:val="top"/>
          </w:tcPr>
          <w:p w14:paraId="28BB679B">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《中华人民共和国商标法》</w:t>
            </w:r>
          </w:p>
          <w:p w14:paraId="2671FE07">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第五十七条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下列行为之一的，均属：</w:t>
            </w:r>
          </w:p>
          <w:p w14:paraId="09D4D992">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（一）未经商标注册人的许可，在同一种商品上使用与其注册商标相同的商标的；</w:t>
            </w:r>
          </w:p>
          <w:p w14:paraId="2945CBB4">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（二）未经商标注册人的许可，在同一种商品上使用与其注册商标近似的商标，或者在类似商品上使用与其注册商标相同或者近似的商标，容易导致混淆的；</w:t>
            </w:r>
          </w:p>
          <w:p w14:paraId="41E46345">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（三）销售侵犯注册商标专用权的商品的；</w:t>
            </w:r>
          </w:p>
          <w:p w14:paraId="6F2B7EC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（四）伪造、擅自制造他人注册商标标识或者销售伪造、擅自制造的注册商标标识的；</w:t>
            </w:r>
          </w:p>
          <w:p w14:paraId="6A08B985">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（五）未经商标注册人同意，更换其注册商标并将该更换商标的商品又投入市场的；</w:t>
            </w:r>
          </w:p>
          <w:p w14:paraId="11C4D86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（六）故意为侵犯他人商标专用权行为提供便利条件，帮助他人实施侵犯商标专用权行为的；</w:t>
            </w:r>
          </w:p>
          <w:p w14:paraId="2E50381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（七）给他人的注册商标专用权造成其他损害的。</w:t>
            </w:r>
          </w:p>
          <w:p w14:paraId="601989DE">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第六十条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本法第五十七条所列侵犯注册商标专用权行为之一，引起纠纷的，由当事人协商解决；不愿协商或者协商不成的，商标注册人或者利害关系人可以向人民法院起诉，也可以请求工商行政管理部门处理。</w:t>
            </w:r>
          </w:p>
          <w:p w14:paraId="565C17A7">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工商行政管理部门处理时，认定侵权行为成立的，责令立即停止侵权行为，没收、销毁侵权商品和主要用于制造侵权商品、伪造注册商标标识的工具，违法经营额五万元以上的，可以处违法经营额五倍以下的罚款，没有违法经营额或者违法经营额不足五万元的，可以处二十五万元以下的罚款。对五年内实施两次以上商标侵权行为或者有其他严重情节的，应当从重处罚。销售不知道是侵犯注册商标专用权的商品，能证明该商品是自己合法取得并说明提供者的，由工商行政管理部门责令停止销售。</w:t>
            </w:r>
          </w:p>
          <w:p w14:paraId="5FB32EF4">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对侵犯商标专用权的赔偿数额的争议，当事人可以请求进行处理的工商行政管理部门调解，也可以依照《中华人民共和国民事诉讼法》向人民法院起诉。经工商行政管理部门调解，当事人未达成协议或者调解书生效后不履行的，当事人可以依照《中华人民共和国民事诉讼法》向人民法院起诉。</w:t>
            </w:r>
          </w:p>
          <w:p w14:paraId="52B7A5F7">
            <w:pPr>
              <w:spacing w:line="280" w:lineRule="exact"/>
              <w:rPr>
                <w:rFonts w:ascii="Times New Roman" w:hAnsi="Times New Roman" w:eastAsia="仿宋_GB2312" w:cs="Times New Roman"/>
                <w:color w:val="auto"/>
                <w:kern w:val="2"/>
                <w:sz w:val="24"/>
                <w:szCs w:val="24"/>
              </w:rPr>
            </w:pPr>
          </w:p>
        </w:tc>
        <w:tc>
          <w:tcPr>
            <w:tcW w:w="1196" w:type="dxa"/>
            <w:noWrap w:val="0"/>
            <w:vAlign w:val="center"/>
          </w:tcPr>
          <w:p w14:paraId="3CBB9FF9">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3D73303">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一、在商品或服务上使用与他人已注册商标相同或相似的标识，需取得权利人授权许可，订立授权合同，并在合同约定的范围内使用。</w:t>
            </w:r>
          </w:p>
          <w:p w14:paraId="2CC86A1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二、在商品销售时，不知道是否侵犯他人注册商标专用权的商品，应注意保留能够证明“自己合法取得并说明提供者”证据，如进货合同（订单）、供货清单、货款收据等。</w:t>
            </w:r>
          </w:p>
        </w:tc>
        <w:tc>
          <w:tcPr>
            <w:tcW w:w="1309" w:type="dxa"/>
            <w:noWrap w:val="0"/>
            <w:vAlign w:val="center"/>
          </w:tcPr>
          <w:p w14:paraId="3369A15B">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知识产权</w:t>
            </w:r>
            <w:r>
              <w:rPr>
                <w:rFonts w:hint="default" w:ascii="Times New Roman" w:hAnsi="Times New Roman" w:cs="Times New Roman"/>
                <w:color w:val="auto"/>
                <w:kern w:val="2"/>
                <w:sz w:val="24"/>
                <w:szCs w:val="24"/>
                <w:lang w:val="en-US" w:eastAsia="zh-CN"/>
              </w:rPr>
              <w:t>广告股</w:t>
            </w:r>
          </w:p>
        </w:tc>
      </w:tr>
      <w:tr w14:paraId="2182D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4" w:type="dxa"/>
            <w:noWrap w:val="0"/>
            <w:vAlign w:val="center"/>
          </w:tcPr>
          <w:p w14:paraId="56621E34">
            <w:pPr>
              <w:pStyle w:val="6"/>
              <w:widowControl w:val="0"/>
              <w:kinsoku/>
              <w:overflowPunct w:val="0"/>
              <w:topLinePunct/>
              <w:autoSpaceDE/>
              <w:autoSpaceDN/>
              <w:spacing w:line="280" w:lineRule="exact"/>
              <w:jc w:val="center"/>
              <w:rPr>
                <w:rFonts w:ascii="Times New Roman" w:hAnsi="Times New Roman" w:eastAsia="仿宋_GB2312" w:cs="Times New Roman"/>
                <w:snapToGrid/>
                <w:color w:val="auto"/>
                <w:sz w:val="24"/>
                <w:szCs w:val="24"/>
                <w:lang w:eastAsia="zh-CN"/>
              </w:rPr>
            </w:pPr>
            <w:r>
              <w:rPr>
                <w:rFonts w:hint="default" w:ascii="Times New Roman" w:hAnsi="Times New Roman" w:eastAsia="仿宋_GB2312" w:cs="Times New Roman"/>
                <w:snapToGrid/>
                <w:color w:val="auto"/>
                <w:sz w:val="24"/>
                <w:szCs w:val="24"/>
                <w:lang w:eastAsia="zh-CN"/>
              </w:rPr>
              <w:t>7</w:t>
            </w:r>
            <w:r>
              <w:rPr>
                <w:rFonts w:hint="default" w:ascii="Times New Roman" w:hAnsi="Times New Roman" w:eastAsia="仿宋_GB2312" w:cs="Times New Roman"/>
                <w:snapToGrid/>
                <w:color w:val="auto"/>
                <w:sz w:val="24"/>
                <w:szCs w:val="24"/>
                <w:lang w:val="en-US" w:eastAsia="zh-CN"/>
              </w:rPr>
              <w:t>4</w:t>
            </w:r>
          </w:p>
        </w:tc>
        <w:tc>
          <w:tcPr>
            <w:tcW w:w="1706" w:type="dxa"/>
            <w:noWrap w:val="0"/>
            <w:vAlign w:val="center"/>
          </w:tcPr>
          <w:p w14:paraId="6A8EEDCC">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不得假冒专利</w:t>
            </w:r>
          </w:p>
        </w:tc>
        <w:tc>
          <w:tcPr>
            <w:tcW w:w="2187" w:type="dxa"/>
            <w:noWrap w:val="0"/>
            <w:vAlign w:val="center"/>
          </w:tcPr>
          <w:p w14:paraId="2E77F6F9">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w:t>
            </w:r>
            <w:r>
              <w:rPr>
                <w:rFonts w:ascii="Times New Roman" w:hAnsi="Times New Roman" w:eastAsia="仿宋_GB2312" w:cs="Times New Roman"/>
                <w:color w:val="auto"/>
                <w:kern w:val="2"/>
                <w:sz w:val="24"/>
                <w:szCs w:val="24"/>
              </w:rPr>
              <w:t>在未被授予专利权的产品或者其包装上标注专利标识，专利权被宣告无效后或者终止后继续在产品或者其包装上标注专利标识，或者未经许可在产品或者产品包装上标注他人的专利号；</w:t>
            </w:r>
          </w:p>
          <w:p w14:paraId="72E87CBC">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w:t>
            </w:r>
            <w:r>
              <w:rPr>
                <w:rFonts w:ascii="Times New Roman" w:hAnsi="Times New Roman" w:eastAsia="仿宋_GB2312" w:cs="Times New Roman"/>
                <w:color w:val="auto"/>
                <w:kern w:val="2"/>
                <w:sz w:val="24"/>
                <w:szCs w:val="24"/>
              </w:rPr>
              <w:t>销售第（一）项所述产品；</w:t>
            </w:r>
          </w:p>
          <w:p w14:paraId="1370295B">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三、</w:t>
            </w:r>
            <w:r>
              <w:rPr>
                <w:rFonts w:ascii="Times New Roman" w:hAnsi="Times New Roman" w:eastAsia="仿宋_GB2312" w:cs="Times New Roman"/>
                <w:color w:val="auto"/>
                <w:kern w:val="2"/>
                <w:sz w:val="24"/>
                <w:szCs w:val="24"/>
              </w:rPr>
              <w:t>在产品说明书等材料中将未被授予专利权的技术或者设计称为专利技术或者专利设计，将专利申请称为专利，或者未经许可使用他人的专利号，使公众将所涉及的技术或者设计误认为是专利技术或者专利设计；</w:t>
            </w:r>
          </w:p>
          <w:p w14:paraId="7EDECAE0">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四、</w:t>
            </w:r>
            <w:r>
              <w:rPr>
                <w:rFonts w:ascii="Times New Roman" w:hAnsi="Times New Roman" w:eastAsia="仿宋_GB2312" w:cs="Times New Roman"/>
                <w:color w:val="auto"/>
                <w:kern w:val="2"/>
                <w:sz w:val="24"/>
                <w:szCs w:val="24"/>
              </w:rPr>
              <w:t>伪造或者变造专利证书、专利文件或者专利申请文件；</w:t>
            </w:r>
          </w:p>
          <w:p w14:paraId="45083BCA">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五、</w:t>
            </w:r>
            <w:r>
              <w:rPr>
                <w:rFonts w:ascii="Times New Roman" w:hAnsi="Times New Roman" w:eastAsia="仿宋_GB2312" w:cs="Times New Roman"/>
                <w:color w:val="auto"/>
                <w:kern w:val="2"/>
                <w:sz w:val="24"/>
                <w:szCs w:val="24"/>
              </w:rPr>
              <w:t>其他使公众混淆，将未被授予专利权的技术或者设计误认为是专利技术或者专利设计的行为。</w:t>
            </w:r>
          </w:p>
          <w:p w14:paraId="0D57B40B">
            <w:pPr>
              <w:spacing w:line="280" w:lineRule="exact"/>
              <w:ind w:left="150" w:leftChars="50" w:firstLine="480" w:firstLineChars="200"/>
              <w:rPr>
                <w:rFonts w:ascii="Times New Roman" w:hAnsi="Times New Roman" w:eastAsia="仿宋_GB2312" w:cs="Times New Roman"/>
                <w:color w:val="auto"/>
                <w:kern w:val="2"/>
                <w:sz w:val="24"/>
                <w:szCs w:val="24"/>
              </w:rPr>
            </w:pPr>
          </w:p>
        </w:tc>
        <w:tc>
          <w:tcPr>
            <w:tcW w:w="4750" w:type="dxa"/>
            <w:noWrap w:val="0"/>
            <w:vAlign w:val="top"/>
          </w:tcPr>
          <w:p w14:paraId="1BDD8BDB">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《中华人民共和国专利法实施细则》</w:t>
            </w:r>
          </w:p>
          <w:p w14:paraId="0726868F">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第一百零一条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下列行为属于专利法第六十八条规定的假冒专利的行为：</w:t>
            </w:r>
          </w:p>
          <w:p w14:paraId="2872AECE">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（一）在未被授予专利权的产品或者其包装上标注专利标识，专利权被宣告无效后或者终止后继续在产品或者其包装上标注专利标识，或者未经许可在产品或者产品包装上标注他人的专利号；</w:t>
            </w:r>
          </w:p>
          <w:p w14:paraId="4880AA29">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（二）销售第（一）项所述产品；</w:t>
            </w:r>
          </w:p>
          <w:p w14:paraId="17DFD2D6">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三）在产品说明书等材料中将未被授予专利权的技术或者设计称为专利技术或者专利设计，将专利申请称为专利，或者未经许可使用他人的专利号，使公众将所涉及的技术或者设计误认为是专利技术或者专利设计；</w:t>
            </w:r>
          </w:p>
          <w:p w14:paraId="4F6E82F8">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（四）伪造或者变造专利证书、专利文件或者专利申请文件；</w:t>
            </w:r>
          </w:p>
          <w:p w14:paraId="5E037FB3">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（五）其他使公众混淆，将未被授予专利权的技术或者设计误认为是专利技术或者专利设计的行为。</w:t>
            </w:r>
          </w:p>
          <w:p w14:paraId="47C309C6">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专利权终止前依法在专利产品、依照专利方法直接获得的产品或者其包装上标注专利标识，在专利权终止后许诺销售、销售该产品的，不属于假冒专利行为。</w:t>
            </w:r>
          </w:p>
          <w:p w14:paraId="48DA4965">
            <w:pPr>
              <w:spacing w:line="280" w:lineRule="exact"/>
              <w:rPr>
                <w:rFonts w:ascii="Times New Roman" w:hAnsi="Times New Roman" w:eastAsia="仿宋_GB2312" w:cs="Times New Roman"/>
                <w:color w:val="auto"/>
                <w:kern w:val="2"/>
                <w:sz w:val="24"/>
                <w:szCs w:val="24"/>
              </w:rPr>
            </w:pPr>
            <w:r>
              <w:rPr>
                <w:rFonts w:ascii="Times New Roman" w:hAnsi="Times New Roman" w:eastAsia="仿宋_GB2312" w:cs="Times New Roman"/>
                <w:color w:val="auto"/>
                <w:kern w:val="2"/>
                <w:sz w:val="24"/>
                <w:szCs w:val="24"/>
              </w:rPr>
              <w:t>销售不知道是假冒专利的产品，并且能够证明该产品合法来源的，由县级以上负责专利执法的部门责令停止销售。</w:t>
            </w:r>
          </w:p>
          <w:p w14:paraId="525370E4">
            <w:pPr>
              <w:spacing w:line="280" w:lineRule="exact"/>
              <w:ind w:firstLine="0" w:firstLineChars="0"/>
              <w:rPr>
                <w:rFonts w:ascii="Times New Roman" w:hAnsi="Times New Roman" w:eastAsia="仿宋_GB2312" w:cs="Times New Roman"/>
                <w:b/>
                <w:color w:val="auto"/>
                <w:kern w:val="2"/>
                <w:sz w:val="24"/>
                <w:szCs w:val="24"/>
              </w:rPr>
            </w:pPr>
            <w:r>
              <w:rPr>
                <w:rFonts w:hint="default" w:ascii="Times New Roman" w:hAnsi="Times New Roman" w:eastAsia="仿宋_GB2312" w:cs="Times New Roman"/>
                <w:b/>
                <w:color w:val="auto"/>
                <w:kern w:val="2"/>
                <w:sz w:val="24"/>
                <w:szCs w:val="24"/>
              </w:rPr>
              <w:t>《中华人民共和国专利法》</w:t>
            </w:r>
          </w:p>
          <w:p w14:paraId="0E4D3467">
            <w:pPr>
              <w:spacing w:line="280" w:lineRule="exact"/>
              <w:ind w:firstLine="422"/>
              <w:rPr>
                <w:rFonts w:ascii="Times New Roman" w:hAnsi="Times New Roman" w:eastAsia="仿宋_GB2312" w:cs="Times New Roman"/>
                <w:color w:val="auto"/>
                <w:kern w:val="2"/>
                <w:sz w:val="24"/>
                <w:szCs w:val="24"/>
              </w:rPr>
            </w:pPr>
            <w:r>
              <w:rPr>
                <w:rFonts w:ascii="Times New Roman" w:hAnsi="Times New Roman" w:eastAsia="仿宋_GB2312" w:cs="Times New Roman"/>
                <w:b/>
                <w:color w:val="auto"/>
                <w:kern w:val="2"/>
                <w:sz w:val="24"/>
                <w:szCs w:val="24"/>
              </w:rPr>
              <w:t>第六十八条</w:t>
            </w:r>
            <w:r>
              <w:rPr>
                <w:rFonts w:hint="default" w:ascii="Times New Roman" w:hAnsi="Times New Roman" w:eastAsia="仿宋_GB2312" w:cs="Times New Roman"/>
                <w:b/>
                <w:color w:val="auto"/>
                <w:kern w:val="2"/>
                <w:sz w:val="24"/>
                <w:szCs w:val="24"/>
              </w:rPr>
              <w:t xml:space="preserve"> </w:t>
            </w:r>
            <w:r>
              <w:rPr>
                <w:rFonts w:ascii="Times New Roman" w:hAnsi="Times New Roman" w:eastAsia="仿宋_GB2312" w:cs="Times New Roman"/>
                <w:color w:val="auto"/>
                <w:kern w:val="2"/>
                <w:sz w:val="24"/>
                <w:szCs w:val="24"/>
              </w:rPr>
              <w:t>假冒专利的，除依法承担民事责任外，由负责专利执法的部门责令改正并予公告，没收违法所得，可以处违法所得五倍以下的罚款；没有违法所得或者违法所得在五万元以下的，可以处二十五万元以下的罚款；构成犯罪的，依法追究刑事责任。</w:t>
            </w:r>
          </w:p>
        </w:tc>
        <w:tc>
          <w:tcPr>
            <w:tcW w:w="1196" w:type="dxa"/>
            <w:noWrap w:val="0"/>
            <w:vAlign w:val="center"/>
          </w:tcPr>
          <w:p w14:paraId="30870651">
            <w:pPr>
              <w:pStyle w:val="6"/>
              <w:widowControl w:val="0"/>
              <w:kinsoku/>
              <w:overflowPunct w:val="0"/>
              <w:topLinePunct/>
              <w:autoSpaceDE/>
              <w:autoSpaceDN/>
              <w:spacing w:line="280" w:lineRule="exact"/>
              <w:jc w:val="center"/>
              <w:rPr>
                <w:rFonts w:ascii="Times New Roman" w:hAnsi="Times New Roman" w:eastAsia="宋体" w:cs="Times New Roman"/>
                <w:sz w:val="24"/>
                <w:szCs w:val="24"/>
                <w:lang w:eastAsia="zh-CN"/>
              </w:rPr>
            </w:pPr>
            <w:r>
              <w:rPr>
                <w:rFonts w:hint="default" w:ascii="Times New Roman" w:hAnsi="Times New Roman" w:eastAsia="宋体" w:cs="Times New Roman"/>
                <w:sz w:val="24"/>
                <w:szCs w:val="24"/>
                <w:lang w:eastAsia="zh-CN"/>
              </w:rPr>
              <w:t>★</w:t>
            </w:r>
          </w:p>
        </w:tc>
        <w:tc>
          <w:tcPr>
            <w:tcW w:w="2860" w:type="dxa"/>
            <w:noWrap w:val="0"/>
            <w:vAlign w:val="center"/>
          </w:tcPr>
          <w:p w14:paraId="236CADFF">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一、加强知识产权法律培训，提升员工知识产权合规意识，不得假冒专利。</w:t>
            </w:r>
          </w:p>
          <w:p w14:paraId="3521D775">
            <w:pPr>
              <w:spacing w:line="280" w:lineRule="exact"/>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二、对产品进行广告宣传和包装设计时，应及时查询专利权属和专利状态。</w:t>
            </w:r>
          </w:p>
        </w:tc>
        <w:tc>
          <w:tcPr>
            <w:tcW w:w="1309" w:type="dxa"/>
            <w:noWrap w:val="0"/>
            <w:vAlign w:val="center"/>
          </w:tcPr>
          <w:p w14:paraId="4A96CB57">
            <w:pPr>
              <w:spacing w:line="280" w:lineRule="exact"/>
              <w:ind w:left="150" w:leftChars="50"/>
              <w:jc w:val="center"/>
              <w:rPr>
                <w:rFonts w:ascii="Times New Roman" w:hAnsi="Times New Roman" w:eastAsia="仿宋_GB2312" w:cs="Times New Roman"/>
                <w:color w:val="auto"/>
                <w:kern w:val="2"/>
                <w:sz w:val="24"/>
                <w:szCs w:val="24"/>
              </w:rPr>
            </w:pPr>
            <w:r>
              <w:rPr>
                <w:rFonts w:hint="default" w:ascii="Times New Roman" w:hAnsi="Times New Roman" w:eastAsia="仿宋_GB2312" w:cs="Times New Roman"/>
                <w:color w:val="auto"/>
                <w:kern w:val="2"/>
                <w:sz w:val="24"/>
                <w:szCs w:val="24"/>
              </w:rPr>
              <w:t>知识产权</w:t>
            </w:r>
            <w:r>
              <w:rPr>
                <w:rFonts w:hint="default" w:ascii="Times New Roman" w:hAnsi="Times New Roman" w:cs="Times New Roman"/>
                <w:color w:val="auto"/>
                <w:kern w:val="2"/>
                <w:sz w:val="24"/>
                <w:szCs w:val="24"/>
                <w:lang w:val="en-US" w:eastAsia="zh-CN"/>
              </w:rPr>
              <w:t>广告股</w:t>
            </w:r>
          </w:p>
        </w:tc>
      </w:tr>
    </w:tbl>
    <w:p w14:paraId="650E5071">
      <w:pPr>
        <w:pStyle w:val="6"/>
        <w:widowControl w:val="0"/>
        <w:kinsoku/>
        <w:overflowPunct w:val="0"/>
        <w:topLinePunct/>
        <w:autoSpaceDE/>
        <w:autoSpaceDN/>
        <w:spacing w:line="200" w:lineRule="exact"/>
        <w:jc w:val="both"/>
        <w:rPr>
          <w:rFonts w:hint="default" w:ascii="Times New Roman" w:hAnsi="Times New Roman" w:eastAsia="方正仿宋_GBK" w:cs="Times New Roman"/>
          <w:sz w:val="21"/>
          <w:szCs w:val="21"/>
          <w:lang w:eastAsia="zh-CN"/>
        </w:rPr>
      </w:pPr>
    </w:p>
    <w:p w14:paraId="209B22FE">
      <w:pPr>
        <w:pStyle w:val="6"/>
        <w:widowControl w:val="0"/>
        <w:kinsoku/>
        <w:overflowPunct w:val="0"/>
        <w:topLinePunct/>
        <w:autoSpaceDE/>
        <w:autoSpaceDN/>
        <w:snapToGrid w:val="0"/>
        <w:jc w:val="both"/>
        <w:rPr>
          <w:rFonts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备注：1.合规清单适用对象：本行政区域内从事</w:t>
      </w:r>
      <w:r>
        <w:rPr>
          <w:rFonts w:ascii="Times New Roman" w:hAnsi="Times New Roman" w:eastAsia="宋体" w:cs="Times New Roman"/>
          <w:sz w:val="21"/>
          <w:szCs w:val="21"/>
          <w:lang w:eastAsia="zh-CN"/>
        </w:rPr>
        <w:t>商品生产经营和服务活动的经营主体</w:t>
      </w:r>
      <w:r>
        <w:rPr>
          <w:rFonts w:hint="default" w:ascii="Times New Roman" w:hAnsi="Times New Roman" w:eastAsia="宋体" w:cs="Times New Roman"/>
          <w:sz w:val="21"/>
          <w:szCs w:val="21"/>
          <w:lang w:eastAsia="zh-CN"/>
        </w:rPr>
        <w:t>。</w:t>
      </w:r>
    </w:p>
    <w:p w14:paraId="21455943">
      <w:pPr>
        <w:pStyle w:val="6"/>
        <w:widowControl w:val="0"/>
        <w:kinsoku/>
        <w:overflowPunct w:val="0"/>
        <w:topLinePunct/>
        <w:autoSpaceDE/>
        <w:autoSpaceDN/>
        <w:snapToGrid w:val="0"/>
        <w:ind w:firstLine="630" w:firstLineChars="300"/>
        <w:jc w:val="both"/>
        <w:rPr>
          <w:rFonts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2.该清单并未涵盖市场监管领域所有违法违规行为。</w:t>
      </w:r>
    </w:p>
    <w:p w14:paraId="7DE8F97D">
      <w:pPr>
        <w:pStyle w:val="6"/>
        <w:widowControl w:val="0"/>
        <w:kinsoku/>
        <w:overflowPunct w:val="0"/>
        <w:topLinePunct/>
        <w:autoSpaceDE/>
        <w:autoSpaceDN/>
        <w:snapToGrid w:val="0"/>
        <w:ind w:firstLine="630" w:firstLineChars="300"/>
        <w:jc w:val="both"/>
        <w:rPr>
          <w:rFonts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3.发生频率较高的风险等级为★★★，发生频率一般的风险等级为★★，发生频率较少的风险等级为★。</w:t>
      </w:r>
    </w:p>
    <w:p w14:paraId="1E430277">
      <w:pPr>
        <w:pStyle w:val="6"/>
        <w:widowControl w:val="0"/>
        <w:kinsoku/>
        <w:overflowPunct w:val="0"/>
        <w:topLinePunct/>
        <w:autoSpaceDE/>
        <w:autoSpaceDN/>
        <w:snapToGrid w:val="0"/>
        <w:ind w:firstLine="630" w:firstLineChars="300"/>
        <w:jc w:val="both"/>
        <w:rPr>
          <w:rFonts w:ascii="Times New Roman" w:hAnsi="Times New Roman" w:cs="Times New Roman"/>
          <w:sz w:val="21"/>
          <w:szCs w:val="21"/>
          <w:lang w:eastAsia="zh-CN"/>
        </w:rPr>
      </w:pPr>
      <w:r>
        <w:rPr>
          <w:rFonts w:hint="default" w:ascii="Times New Roman" w:hAnsi="Times New Roman" w:eastAsia="宋体" w:cs="Times New Roman"/>
          <w:sz w:val="21"/>
          <w:szCs w:val="21"/>
          <w:lang w:eastAsia="zh-CN"/>
        </w:rPr>
        <w:t>4.指导机构为行政执法部门具体承办业务的科室。</w:t>
      </w:r>
    </w:p>
    <w:p w14:paraId="0C95140F">
      <w:pPr>
        <w:pStyle w:val="6"/>
        <w:widowControl w:val="0"/>
        <w:kinsoku/>
        <w:overflowPunct w:val="0"/>
        <w:topLinePunct/>
        <w:autoSpaceDE/>
        <w:autoSpaceDN/>
        <w:snapToGrid w:val="0"/>
        <w:ind w:firstLine="630" w:firstLineChars="300"/>
        <w:jc w:val="both"/>
        <w:rPr>
          <w:rFonts w:ascii="Times New Roman" w:hAnsi="Times New Roman" w:eastAsia="宋体" w:cs="Times New Roman"/>
          <w:sz w:val="21"/>
          <w:szCs w:val="21"/>
          <w:lang w:eastAsia="zh-CN"/>
        </w:rPr>
      </w:pPr>
      <w:r>
        <w:rPr>
          <w:rFonts w:ascii="Times New Roman" w:hAnsi="Times New Roman" w:eastAsia="宋体" w:cs="Times New Roman"/>
          <w:sz w:val="21"/>
          <w:szCs w:val="21"/>
          <w:lang w:eastAsia="zh-CN"/>
        </w:rPr>
        <w:t>5</w:t>
      </w:r>
      <w:r>
        <w:rPr>
          <w:rFonts w:hint="default" w:ascii="Times New Roman" w:hAnsi="Times New Roman" w:eastAsia="宋体" w:cs="Times New Roman"/>
          <w:sz w:val="21"/>
          <w:szCs w:val="21"/>
          <w:lang w:eastAsia="zh-CN"/>
        </w:rPr>
        <w:t>.</w:t>
      </w:r>
      <w:r>
        <w:rPr>
          <w:rFonts w:ascii="Times New Roman" w:hAnsi="Times New Roman" w:eastAsia="宋体" w:cs="Times New Roman"/>
          <w:sz w:val="21"/>
          <w:szCs w:val="21"/>
          <w:lang w:eastAsia="zh-CN"/>
        </w:rPr>
        <w:t>相关法律法规规章等修订</w:t>
      </w:r>
      <w:r>
        <w:rPr>
          <w:rFonts w:hint="default" w:ascii="Times New Roman" w:hAnsi="Times New Roman" w:eastAsia="宋体" w:cs="Times New Roman"/>
          <w:sz w:val="21"/>
          <w:szCs w:val="21"/>
          <w:lang w:eastAsia="zh-CN"/>
        </w:rPr>
        <w:t>后</w:t>
      </w:r>
      <w:r>
        <w:rPr>
          <w:rFonts w:ascii="Times New Roman" w:hAnsi="Times New Roman" w:eastAsia="宋体" w:cs="Times New Roman"/>
          <w:sz w:val="21"/>
          <w:szCs w:val="21"/>
          <w:lang w:eastAsia="zh-CN"/>
        </w:rPr>
        <w:t>，</w:t>
      </w:r>
      <w:r>
        <w:rPr>
          <w:rFonts w:hint="default" w:ascii="Times New Roman" w:hAnsi="Times New Roman" w:eastAsia="宋体" w:cs="Times New Roman"/>
          <w:sz w:val="21"/>
          <w:szCs w:val="21"/>
          <w:lang w:eastAsia="zh-CN"/>
        </w:rPr>
        <w:t>与清单内容不一致的，</w:t>
      </w:r>
      <w:r>
        <w:rPr>
          <w:rFonts w:ascii="Times New Roman" w:hAnsi="Times New Roman" w:eastAsia="宋体" w:cs="Times New Roman"/>
          <w:sz w:val="21"/>
          <w:szCs w:val="21"/>
          <w:lang w:eastAsia="zh-CN"/>
        </w:rPr>
        <w:t>以修订后法律法规规章的内容为准。</w:t>
      </w:r>
    </w:p>
    <w:p w14:paraId="591B2BFB">
      <w:pPr>
        <w:rPr>
          <w:rFonts w:hint="eastAsia" w:ascii="仿宋_GB2312" w:eastAsia="仿宋_GB2312"/>
          <w:szCs w:val="30"/>
          <w:lang w:eastAsia="zh-CN"/>
        </w:rPr>
      </w:pPr>
    </w:p>
    <w:p w14:paraId="0442CDA9">
      <w:pPr>
        <w:rPr>
          <w:rFonts w:hint="eastAsia" w:ascii="仿宋_GB2312" w:eastAsia="仿宋_GB2312"/>
          <w:szCs w:val="30"/>
          <w:lang w:eastAsia="zh-CN"/>
        </w:rPr>
        <w:sectPr>
          <w:footerReference r:id="rId3" w:type="default"/>
          <w:footnotePr>
            <w:numFmt w:val="decimal"/>
          </w:footnotePr>
          <w:pgSz w:w="16838" w:h="11906" w:orient="landscape"/>
          <w:pgMar w:top="1588" w:right="2098" w:bottom="1474" w:left="1984" w:header="851" w:footer="1417" w:gutter="0"/>
          <w:paperSrc/>
          <w:pgBorders>
            <w:top w:val="none" w:sz="0" w:space="0"/>
            <w:left w:val="none" w:sz="0" w:space="0"/>
            <w:bottom w:val="none" w:sz="0" w:space="0"/>
            <w:right w:val="none" w:sz="0" w:space="0"/>
          </w:pgBorders>
          <w:pgNumType w:fmt="numberInDash"/>
          <w:cols w:space="720" w:num="1"/>
          <w:docGrid w:type="lines" w:linePitch="411" w:charSpace="0"/>
        </w:sectPr>
      </w:pPr>
    </w:p>
    <w:p w14:paraId="4876526D"/>
    <w:sectPr>
      <w:footnotePr>
        <w:numFmt w:val="decimal"/>
      </w:footnotePr>
      <w:pgSz w:w="11906" w:h="16838"/>
      <w:pgMar w:top="2098" w:right="1474" w:bottom="1984" w:left="1588" w:header="851" w:footer="1417" w:gutter="0"/>
      <w:paperSrc/>
      <w:pgBorders>
        <w:top w:val="none" w:sz="0" w:space="0"/>
        <w:left w:val="none" w:sz="0" w:space="0"/>
        <w:bottom w:val="none" w:sz="0" w:space="0"/>
        <w:right w:val="none" w:sz="0" w:space="0"/>
      </w:pgBorders>
      <w:pgNumType w:fmt="numberInDash"/>
      <w:cols w:space="720" w:num="1"/>
      <w:docGrid w:type="lines" w:linePitch="41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瀹嬩綋">
    <w:altName w:val="仿宋_GB2312"/>
    <w:panose1 w:val="00000000000000000000"/>
    <w:charset w:val="00"/>
    <w:family w:val="auto"/>
    <w:pitch w:val="default"/>
    <w:sig w:usb0="00000000" w:usb1="00000000" w:usb2="00000010" w:usb3="00000000" w:csb0="00040001" w:csb1="00000000"/>
  </w:font>
  <w:font w:name="FZFSK--GBK1-0">
    <w:altName w:val="方正大标宋简体"/>
    <w:panose1 w:val="00000000000000000000"/>
    <w:charset w:val="86"/>
    <w:family w:val="auto"/>
    <w:pitch w:val="default"/>
    <w:sig w:usb0="00000000" w:usb1="0000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方正大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9A2841">
    <w:pPr>
      <w:pStyle w:val="8"/>
    </w:pPr>
    <w:r>
      <w:rPr>
        <w:sz w:val="18"/>
      </w:rPr>
      <w:pict>
        <v:shape id="_x0000_s2049" o:spid="_x0000_s2049"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weight="1.25pt"/>
          <v:imagedata o:title=""/>
          <o:lock v:ext="edit" aspectratio="f"/>
          <v:textbox inset="0mm,0mm,0mm,0mm" style="mso-fit-shape-to-text:t;">
            <w:txbxContent>
              <w:p w14:paraId="2790A7D0">
                <w:pPr>
                  <w:snapToGrid w:val="0"/>
                  <w:rPr>
                    <w:rFonts w:hint="eastAsia" w:eastAsia="仿宋_GB2312"/>
                    <w:sz w:val="1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rPr>
                  <w:t>1</w:t>
                </w:r>
                <w:r>
                  <w:rPr>
                    <w:rFonts w:hint="eastAsia" w:ascii="宋体" w:hAnsi="宋体" w:eastAsia="宋体" w:cs="宋体"/>
                    <w:sz w:val="28"/>
                    <w:szCs w:val="28"/>
                    <w:lang w:eastAsia="zh-CN"/>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F5605C"/>
    <w:multiLevelType w:val="multilevel"/>
    <w:tmpl w:val="16F5605C"/>
    <w:lvl w:ilvl="0" w:tentative="0">
      <w:start w:val="1"/>
      <w:numFmt w:val="ideographDigital"/>
      <w:pStyle w:val="4"/>
      <w:lvlText w:val="（%1）"/>
      <w:lvlJc w:val="left"/>
      <w:pPr>
        <w:tabs>
          <w:tab w:val="left" w:pos="930"/>
        </w:tabs>
        <w:ind w:left="93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79DB1B2A"/>
    <w:multiLevelType w:val="multilevel"/>
    <w:tmpl w:val="79DB1B2A"/>
    <w:lvl w:ilvl="0" w:tentative="0">
      <w:start w:val="1"/>
      <w:numFmt w:val="decimal"/>
      <w:pStyle w:val="5"/>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7D434B06"/>
    <w:multiLevelType w:val="multilevel"/>
    <w:tmpl w:val="7D434B06"/>
    <w:lvl w:ilvl="0" w:tentative="0">
      <w:start w:val="1"/>
      <w:numFmt w:val="ideographDigital"/>
      <w:pStyle w:val="3"/>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mirrorMargin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7B88"/>
    <w:rsid w:val="003B259C"/>
    <w:rsid w:val="005B7B88"/>
    <w:rsid w:val="00657BD1"/>
    <w:rsid w:val="00781DB8"/>
    <w:rsid w:val="00BC4F05"/>
    <w:rsid w:val="00DC0BD1"/>
    <w:rsid w:val="00E92B89"/>
    <w:rsid w:val="07446013"/>
    <w:rsid w:val="07834509"/>
    <w:rsid w:val="0E662FCA"/>
    <w:rsid w:val="12E77EBE"/>
    <w:rsid w:val="19AF3953"/>
    <w:rsid w:val="1BA01450"/>
    <w:rsid w:val="1C301140"/>
    <w:rsid w:val="215A758C"/>
    <w:rsid w:val="2E377391"/>
    <w:rsid w:val="3EDA5AA8"/>
    <w:rsid w:val="433E4DA6"/>
    <w:rsid w:val="4E3B2C6E"/>
    <w:rsid w:val="569E00E7"/>
    <w:rsid w:val="62EE73D1"/>
    <w:rsid w:val="7A0842E4"/>
    <w:rsid w:val="7AAF13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1723"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0"/>
      <w:szCs w:val="24"/>
      <w:lang w:val="en-US" w:eastAsia="zh-CN" w:bidi="ar-SA"/>
    </w:rPr>
  </w:style>
  <w:style w:type="paragraph" w:styleId="3">
    <w:name w:val="heading 1"/>
    <w:next w:val="1"/>
    <w:qFormat/>
    <w:uiPriority w:val="9"/>
    <w:pPr>
      <w:keepNext/>
      <w:keepLines/>
      <w:numPr>
        <w:ilvl w:val="0"/>
        <w:numId w:val="1"/>
      </w:numPr>
      <w:outlineLvl w:val="0"/>
    </w:pPr>
    <w:rPr>
      <w:rFonts w:ascii="Times New Roman" w:hAnsi="Times New Roman" w:eastAsia="黑体" w:cs="Times New Roman"/>
      <w:bCs/>
      <w:kern w:val="44"/>
      <w:sz w:val="30"/>
      <w:szCs w:val="44"/>
      <w:lang w:val="en-US" w:eastAsia="zh-CN" w:bidi="ar-SA"/>
    </w:rPr>
  </w:style>
  <w:style w:type="paragraph" w:styleId="4">
    <w:name w:val="heading 2"/>
    <w:next w:val="1"/>
    <w:unhideWhenUsed/>
    <w:qFormat/>
    <w:uiPriority w:val="9"/>
    <w:pPr>
      <w:keepNext/>
      <w:keepLines/>
      <w:numPr>
        <w:ilvl w:val="0"/>
        <w:numId w:val="2"/>
      </w:numPr>
      <w:ind w:left="0" w:firstLine="0"/>
      <w:outlineLvl w:val="1"/>
    </w:pPr>
    <w:rPr>
      <w:rFonts w:ascii="Arial" w:hAnsi="Arial" w:eastAsia="楷体_GB2312" w:cs="Times New Roman"/>
      <w:b/>
      <w:bCs/>
      <w:kern w:val="2"/>
      <w:sz w:val="32"/>
      <w:szCs w:val="32"/>
      <w:lang w:val="en-US" w:eastAsia="zh-CN" w:bidi="ar-SA"/>
    </w:rPr>
  </w:style>
  <w:style w:type="paragraph" w:styleId="5">
    <w:name w:val="heading 3"/>
    <w:basedOn w:val="1"/>
    <w:next w:val="1"/>
    <w:unhideWhenUsed/>
    <w:qFormat/>
    <w:uiPriority w:val="9"/>
    <w:pPr>
      <w:keepNext/>
      <w:keepLines/>
      <w:numPr>
        <w:ilvl w:val="0"/>
        <w:numId w:val="3"/>
      </w:numPr>
      <w:outlineLvl w:val="2"/>
    </w:pPr>
    <w:rPr>
      <w:rFonts w:ascii="Times New Roman" w:hAnsi="Times New Roman" w:cs="Times New Roman"/>
      <w:b/>
      <w:bCs/>
      <w:szCs w:val="32"/>
    </w:rPr>
  </w:style>
  <w:style w:type="character" w:default="1" w:styleId="11">
    <w:name w:val="Default Paragraph Font"/>
    <w:autoRedefine/>
    <w:semiHidden/>
    <w:uiPriority w:val="1723"/>
  </w:style>
  <w:style w:type="table" w:default="1" w:styleId="10">
    <w:name w:val="Normal Table"/>
    <w:autoRedefine/>
    <w:unhideWhenUsed/>
    <w:uiPriority w:val="99"/>
    <w:tblPr>
      <w:tblCellMar>
        <w:top w:w="0" w:type="dxa"/>
        <w:left w:w="108" w:type="dxa"/>
        <w:bottom w:w="0" w:type="dxa"/>
        <w:right w:w="108" w:type="dxa"/>
      </w:tblCellMar>
    </w:tblPr>
  </w:style>
  <w:style w:type="paragraph" w:customStyle="1" w:styleId="2">
    <w:name w:val="Normal Indent1"/>
    <w:basedOn w:val="1"/>
    <w:qFormat/>
    <w:uiPriority w:val="0"/>
    <w:pPr>
      <w:ind w:firstLine="420" w:firstLineChars="200"/>
    </w:pPr>
    <w:rPr>
      <w:rFonts w:ascii="Calibri" w:hAnsi="Calibri" w:eastAsia="宋体" w:cs="Times New Roman"/>
      <w:sz w:val="21"/>
      <w:szCs w:val="24"/>
    </w:rPr>
  </w:style>
  <w:style w:type="paragraph" w:styleId="6">
    <w:name w:val="Body Text"/>
    <w:basedOn w:val="1"/>
    <w:unhideWhenUsed/>
    <w:uiPriority w:val="99"/>
    <w:rPr>
      <w:rFonts w:ascii="微软雅黑" w:hAnsi="微软雅黑" w:eastAsia="微软雅黑" w:cs="微软雅黑"/>
      <w:sz w:val="31"/>
      <w:szCs w:val="31"/>
      <w:lang w:eastAsia="en-US"/>
    </w:rPr>
  </w:style>
  <w:style w:type="paragraph" w:styleId="7">
    <w:name w:val="Plain Text"/>
    <w:basedOn w:val="1"/>
    <w:unhideWhenUsed/>
    <w:uiPriority w:val="99"/>
    <w:pPr>
      <w:widowControl w:val="0"/>
      <w:kinsoku/>
      <w:autoSpaceDE/>
      <w:autoSpaceDN/>
      <w:adjustRightInd/>
      <w:snapToGrid/>
      <w:jc w:val="both"/>
      <w:textAlignment w:val="auto"/>
    </w:pPr>
    <w:rPr>
      <w:rFonts w:ascii="宋体" w:hAnsi="Courier New" w:eastAsia="宋体" w:cs="Courier New"/>
      <w:snapToGrid/>
      <w:color w:val="auto"/>
      <w:kern w:val="2"/>
      <w:sz w:val="21"/>
      <w:szCs w:val="24"/>
    </w:rPr>
  </w:style>
  <w:style w:type="paragraph" w:styleId="8">
    <w:name w:val="footer"/>
    <w:basedOn w:val="1"/>
    <w:uiPriority w:val="0"/>
    <w:pPr>
      <w:tabs>
        <w:tab w:val="center" w:pos="4153"/>
        <w:tab w:val="right" w:pos="8306"/>
      </w:tabs>
      <w:snapToGrid w:val="0"/>
      <w:jc w:val="left"/>
    </w:pPr>
    <w:rPr>
      <w:sz w:val="18"/>
      <w:szCs w:val="18"/>
    </w:rPr>
  </w:style>
  <w:style w:type="paragraph" w:styleId="9">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12">
    <w:name w:val="page number"/>
    <w:basedOn w:val="11"/>
    <w:uiPriority w:val="0"/>
    <w:rPr>
      <w:rFonts w:ascii="Times New Roman" w:hAnsi="Times New Roman" w:eastAsia="宋体" w:cs="Times New Roman"/>
    </w:rPr>
  </w:style>
  <w:style w:type="character" w:styleId="13">
    <w:name w:val="FollowedHyperlink"/>
    <w:basedOn w:val="11"/>
    <w:unhideWhenUsed/>
    <w:uiPriority w:val="99"/>
    <w:rPr>
      <w:rFonts w:ascii="Times New Roman" w:hAnsi="Times New Roman" w:eastAsia="宋体" w:cs="Times New Roman"/>
      <w:color w:val="003399"/>
      <w:u w:val="none"/>
    </w:rPr>
  </w:style>
  <w:style w:type="character" w:styleId="14">
    <w:name w:val="Hyperlink"/>
    <w:basedOn w:val="11"/>
    <w:unhideWhenUsed/>
    <w:uiPriority w:val="99"/>
    <w:rPr>
      <w:rFonts w:ascii="Times New Roman" w:hAnsi="Times New Roman" w:eastAsia="宋体" w:cs="Times New Roman"/>
      <w:color w:val="003399"/>
      <w:u w:val="none"/>
    </w:rPr>
  </w:style>
  <w:style w:type="paragraph" w:customStyle="1" w:styleId="15">
    <w:name w:val="主题词"/>
    <w:basedOn w:val="1"/>
    <w:uiPriority w:val="2236"/>
    <w:pPr>
      <w:spacing w:after="296" w:afterLines="50" w:line="600" w:lineRule="exact"/>
    </w:pPr>
    <w:rPr>
      <w:rFonts w:eastAsia="方正小标宋简体"/>
      <w:sz w:val="3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0</Words>
  <Characters>0</Characters>
  <Lines>0</Lines>
  <Paragraphs>0</Paragraphs>
  <TotalTime>3</TotalTime>
  <ScaleCrop>false</ScaleCrop>
  <LinksUpToDate>false</LinksUpToDate>
  <CharactersWithSpaces>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2024-11-28T08:41:00Z</dcterms:created>
  <dc:creator>冉聆铃</dc:creator>
  <cp:lastModifiedBy>冉聆铃</cp:lastModifiedBy>
  <dcterms:modified xsi:type="dcterms:W3CDTF">2024-11-28T08:44:29Z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8D0BC95AFD42460D9DFA704719636345_11</vt:lpwstr>
  </property>
</Properties>
</file>