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hint="eastAsia" w:ascii="仿宋_GB2312" w:hAnsi="宋体" w:eastAsia="仿宋_GB2312" w:cs="宋体"/>
          <w:b/>
          <w:bCs w:val="0"/>
          <w:sz w:val="36"/>
          <w:szCs w:val="36"/>
        </w:rPr>
      </w:pPr>
      <w:bookmarkStart w:id="0" w:name="PO_part3A3Year1"/>
    </w:p>
    <w:p>
      <w:pPr>
        <w:spacing w:line="288" w:lineRule="auto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</w:rPr>
      </w:pPr>
      <w:bookmarkStart w:id="59" w:name="_GoBack"/>
      <w:r>
        <w:rPr>
          <w:rFonts w:hint="eastAsia" w:ascii="仿宋_GB2312" w:hAnsi="宋体" w:eastAsia="仿宋_GB2312" w:cs="宋体"/>
          <w:b/>
          <w:bCs w:val="0"/>
          <w:sz w:val="36"/>
          <w:szCs w:val="36"/>
        </w:rPr>
        <w:t>2022</w:t>
      </w:r>
      <w:r>
        <w:rPr>
          <w:rFonts w:hint="eastAsia" w:ascii="仿宋_GB2312" w:hAnsi="宋体" w:eastAsia="仿宋_GB2312" w:cs="宋体"/>
          <w:b/>
          <w:bCs w:val="0"/>
          <w:sz w:val="13"/>
          <w:szCs w:val="13"/>
        </w:rPr>
        <w:t xml:space="preserve"> </w:t>
      </w:r>
      <w:bookmarkEnd w:id="0"/>
      <w:r>
        <w:rPr>
          <w:rFonts w:hint="eastAsia" w:ascii="仿宋_GB2312" w:hAnsi="宋体" w:eastAsia="仿宋_GB2312" w:cs="宋体"/>
          <w:b/>
          <w:bCs w:val="0"/>
          <w:sz w:val="36"/>
          <w:szCs w:val="36"/>
        </w:rPr>
        <w:t>年度财政拨款“三公”经费支出决算情况说明</w:t>
      </w:r>
    </w:p>
    <w:bookmarkEnd w:id="59"/>
    <w:p>
      <w:pPr>
        <w:pStyle w:val="2"/>
        <w:rPr>
          <w:rFonts w:hint="eastAsia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阳西县残疾人联合会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4.55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ascii="仿宋_GB2312" w:hAnsi="宋体" w:eastAsia="仿宋_GB2312" w:cs="宋体"/>
          <w:sz w:val="32"/>
          <w:szCs w:val="32"/>
        </w:rPr>
        <w:t>6.72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ascii="仿宋_GB2312" w:hAnsi="宋体" w:eastAsia="仿宋_GB2312" w:cs="宋体"/>
          <w:sz w:val="32"/>
          <w:szCs w:val="32"/>
        </w:rPr>
        <w:t>67.7%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1.51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49.5%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2.59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ascii="仿宋_GB2312" w:hAnsi="宋体" w:eastAsia="仿宋_GB2312" w:cs="宋体"/>
          <w:sz w:val="32"/>
          <w:szCs w:val="32"/>
        </w:rPr>
        <w:t>4.01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ascii="仿宋_GB2312" w:hAnsi="宋体" w:eastAsia="仿宋_GB2312" w:cs="宋体"/>
          <w:sz w:val="32"/>
          <w:szCs w:val="32"/>
        </w:rPr>
        <w:t>64.5%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0.79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43.7%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2.59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ascii="仿宋_GB2312" w:hAnsi="宋体" w:eastAsia="仿宋_GB2312" w:cs="宋体"/>
          <w:sz w:val="32"/>
          <w:szCs w:val="32"/>
        </w:rPr>
        <w:t>4.01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ascii="仿宋_GB2312" w:hAnsi="宋体" w:eastAsia="仿宋_GB2312" w:cs="宋体"/>
          <w:sz w:val="32"/>
          <w:szCs w:val="32"/>
        </w:rPr>
        <w:t>64.5%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0.79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43.7%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1.96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ascii="仿宋_GB2312" w:hAnsi="宋体" w:eastAsia="仿宋_GB2312" w:cs="宋体"/>
          <w:sz w:val="32"/>
          <w:szCs w:val="32"/>
        </w:rPr>
        <w:t>2.71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ascii="仿宋_GB2312" w:hAnsi="宋体" w:eastAsia="仿宋_GB2312" w:cs="宋体"/>
          <w:sz w:val="32"/>
          <w:szCs w:val="32"/>
        </w:rPr>
        <w:t>72.3%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0.72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57.9%。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大于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一是由于单位公车使用时间已超过折旧年限，在2022年进行全面检修，更换磨损零件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二是上级单位调研、督导和相关单位业务交流工作增加，公务接待有所增加。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2.59万元，占57%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1.96万元，占43%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2.59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2.59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eastAsia="仿宋_GB2312"/>
          <w:sz w:val="32"/>
          <w:szCs w:val="32"/>
        </w:rPr>
        <w:t>日常公务用车及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应急保障</w:t>
      </w:r>
      <w:r>
        <w:rPr>
          <w:rFonts w:hint="eastAsia" w:ascii="仿宋_GB2312" w:eastAsia="仿宋_GB2312"/>
          <w:sz w:val="32"/>
          <w:szCs w:val="32"/>
        </w:rPr>
        <w:t>用车。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1.96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上级单位调研、督导和相关单位业务交流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154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上级单位调研、督导和同级部门间业务交流。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8"/>
    </w:p>
    <w:p/>
    <w:p>
      <w:pPr>
        <w:pStyle w:val="2"/>
      </w:pPr>
    </w:p>
    <w:p>
      <w:pPr>
        <w:pStyle w:val="2"/>
      </w:pP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ind w:firstLine="3600" w:firstLineChars="15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07931"/>
    <w:rsid w:val="18F76AF7"/>
    <w:rsid w:val="244A76E6"/>
    <w:rsid w:val="76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2023-10-26T02:24:30Z</dcterms:created>
  <dc:creator>Administrator</dc:creator>
  <cp:lastModifiedBy>Administrator</cp:lastModifiedBy>
  <dcterms:modified xsi:type="dcterms:W3CDTF">2023-10-26T02:27:52Z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